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ATAS/1341/2021 vom 22. Dezember 2021</w:t>
      </w:r>
    </w:p>
    <w:p>
      <w:r>
        <w:t>GE Cour de justice, 2021-12-22, FR</w:t>
      </w:r>
    </w:p>
    <w:p>
      <w:r>
        <w:rPr>
          <w:b/>
        </w:rPr>
        <w:t xml:space="preserve">Quelle: </w:t>
      </w:r>
      <w:r>
        <w:t>https://mcp.opencaselaw.ch/entscheid/ge_gerichte_ATAS_1341_2021</w:t>
      </w:r>
    </w:p>
    <w:p>
      <w:r>
        <w:t>FR: GE_GERICHTE ATAS/1341/2021 du 22 décembre 2021</w:t>
      </w:r>
    </w:p>
    <w:p>
      <w:r>
        <w:t>IT: GE_GERICHTE ATAS/1341/2021 del 22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demi-rente d’invalidité au-delà du 30 septembre 2015.</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w:t>
      </w:r>
    </w:p>
    <w:p>
      <w:r>
        <w:t>A/1929/2019 - 6/17 -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LAI, le droit ne prend pas naissance tant que l’assuré peut faire valoir son droit à une indemnité journalière au sens de l’art. 22 (al. 2). La rente est versée dès le début du mois au cours duquel le droit prend naissance (al. 3).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A/1929/2019 - 7/17 -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A/1929/2019 - 8/17 -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w:t>
      </w:r>
    </w:p>
    <w:p>
      <w:r>
        <w:t>A/1929/2019 - 9/17 - des assurances I 35/03 du 24 octobre 2003 consid. 4.3 et les références, in Plädoyer 2004/3 p. 64; arrêt du Tribunal fédéral 9C_512/2013 du 16 janvier 2014 consid. 5.2.1).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4.5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w:t>
      </w:r>
    </w:p>
    <w:p>
      <w:r>
        <w:t>En l’espèce, l’intimé a retenu que la recourante était capable de travailler à 100% dans une activité adaptée dès le 23 juin 2015, puis à 50% dès juin 2016, sur la base d’un avis du SMR du 4 septembre 2018, lui-même fondé sur le rapport médical du Dr B______ du 22 mars 2018, qui retenait pour celle-ci une telle capacité de travail. Il ressortait toutefois des rapports relatifs aux stages effectués par la recourante qu’elle n’arrivait pas à travailler à 50%, malgré sa bonne volonté. Invité à se prononcer à nouveau sur la capacité de travail de la recourante en tenant compte de ces rapports, le Dr B______ a indiqué, le 6 mai 2021, qu’après avoir relu les rapports de stage, il lui apparaissait clairement que l’assurée ne pouvait pas soutenir une activité professionnelle très longtemps, car</w:t>
      </w:r>
    </w:p>
    <w:p>
      <w:r>
        <w:t>A/1929/2019 - 10/17 - cela engendrait énormément de symptômes douloureux, sans se prononcer sur la capacité de travail exigible. Sur la base de ce rapport et du rapport « COPAI de 2018 », le SMR a fixé, le 31 mai 2021, la capacité de travail résiduelle de la recourante à 35%. L’intimé a daté cette capacité résiduelle de travail dès juin 2016. Cette date a manifestement été reprise du rapport final du SMR du 4 septembre 2018, qui retenait une capacité de travail de 50% dès juin 2016, sur la base du rapport du Dr B______ du 22 mars 2018. Le Dr B______ ne précisait toutefois pas dans ce rapport une date de début de l’aptitude à la réadaptation. À teneur du rapport établi par le Dr D______ le 29 juillet 2016, la capacité de travail exigible de la recourante était de 30% au maximum dans toute activité, avec un début de l’aptitude à la réadaptation au 23 juin 2015. Le Dr B______ a indiqué à l’intimé, le 15 décembre 2016, qu’au niveau strictement ophtalmologique, la capacité de travail était de 100%, si l’assurée pouvait trouver un travail qui ne nécessitait pas une visualisation des détails et trop de lumière. L’avis du SMR du 28 avril 2017 retenait, sur la base du rapport du Dr B______ du 15 décembre 2016, que la recourante avait une capacité de travail exigible de 0% dans l’activité habituelle et de 100% dans une activité adaptée, avec un début de l’aptitude à la réadaptation au 23 juin 2015. Cet avis a été invalidé par l’avis du SMR du 4 septembre 2018, qui concluait, au vu des pièces au dossier et en particulier du rapport du Dr B______ du 22 mars 2018, qu’il fallait retenir la dernière estimation de celui-ci, à savoir une capacité de travail de l’assurée dans une activité adaptée de 50%, avec une aptitude à la réadaptation dès juin 2016. Le SMR a fixé le début de l’aptitude à la réadaptation dès juin 2016, sans indiquer pourquoi il ne retenait plus la date du 23 juin 2015 qu’il avait mentionnée son rapport 28 avril 2017, manifestement sur la base du rapport du Dr D______ du 29 juillet 2016. Dans ce dernier rapport, le Dr D______ retenait une capacité de travail exigible de 30% au grand maximum tant dans l’activité habituelle que dans une activité adaptée, avec un début de l’aptitude à la réadaptation au 23 juin 2015. Ce rapport est détaillé, il tient compte des limitations fonctionnelles de l’assurée et du fait que celle-ci a dû interrompre son stage à la C______ en raison de ses problèmes de santé. De plus, le médecin connaissait bien la situation de la recourante, puisqu’il la suivait depuis 2005, avec un dernier contrôle datant du 20 juin 2016. Son évaluation de la capacité de travail résiduelle apparaît ainsi plus probante que celle faite par le SMR le 31 mai 2021, soit bien après les faits et sur la base des seules pièces du dossier et avec une brève motivation, qui ne mentionnait pas le rapport du Dr D______. L’évaluation de ce dernier, qui correspond au bas de la fourchette de la capacité de travail retenue dans le rapport de l’OAI du 17 août 2018 (30-35%) doit ainsi être privilégiée sur celle du SMR. Sur cette base, la</w:t>
      </w:r>
    </w:p>
    <w:p>
      <w:r>
        <w:t>A/1929/2019 - 11/17 - chambre de céans retiendra qu’il est établi au degré de la vraisemblance prépondérante que la recourante était capable de travailler à 30% dans une activité adaptée dès juin 2015.</w:t>
      </w:r>
    </w:p>
    <w:p>
      <w:r>
        <w:rPr>
          <w:b/>
        </w:rPr>
        <w:t>E. 6</w:t>
      </w:r>
    </w:p>
    <w:p>
      <w:r>
        <w:t>ans à la sortie de l’école et pour s’en occuper jusqu’à son retour du travail et qu’elle aurait pu également trouver un horaire de travail adapté lui permettant de la chercher elle-même. Elle a encore répété à la chambre de céans que sans atteinte à la santé, elle travaillerait à 80%, depuis que sa fille était scolarisée. Le fait qu’une place de stage a été proposée à la recourante et que celle-ci aurait demandé un horaire adapté pour pouvoir chercher sa fille à l’école, n’est pas déterminant, car cela ressort du courriel adressé le 1er septembre 2015 par les ÉPI au service de réadaptation professionnelle de l’OAI, dans le contexte d’une mesure de réadaptation avec une capacité de travail retenue par l’OAI de 50%, avec augmentation progressive. On ne peut utiliser cette source comme indice pertinent pour déterminer le temps de travail auquel l’assurée travaillerait sans atteinte à la santé. Il convient ainsi de retenir qu’à tout le moins en 2018, la recourante aurait travaillé à 80% sans atteinte à la santé et par conséquent un statut mixte avec une part professionnelle de 80%.</w:t>
      </w:r>
    </w:p>
    <w:p>
      <w:r>
        <w:rPr>
          <w:b/>
        </w:rPr>
        <w:t>E. 6.1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6.2</w:t>
      </w:r>
    </w:p>
    <w:p>
      <w:r>
        <w:t>La recourante fait valoir que l’OAI aurait dû retenir un statut mixte avec un taux d’activité lucrative de 80%. L’intimé a retenu un statut mixte avec un taux d’activité lucrative de 50%.</w:t>
      </w:r>
    </w:p>
    <w:p>
      <w:r>
        <w:rPr>
          <w:b/>
        </w:rPr>
        <w:t>E. 6.3</w:t>
      </w:r>
    </w:p>
    <w:p>
      <w:r>
        <w:t>En l’espèce, il convient de constater que la recourante n’a pas démontré avoir cherché à augmenter son temps de travail depuis son arrivée en Suisse, en 2004 alors qu’elle était âgée de 23 ans, et qu’elle a travaillé à taux très réduit, de moins de 50%, jusqu’en 2011. Il faut toutefois tenir compte du fait qu’elle ne parlait pas</w:t>
      </w:r>
    </w:p>
    <w:p>
      <w:r>
        <w:t>A/1929/2019 - 12/17 - bien le français à son arrivée, qu’elle a eu son premier enfant en 2005 et que selon ses déclarations, ses problèmes de vision ont commencé quelques mois ou une année après son arrivée en Suisse. Le rapport du Dr B______ du 12 décembre 2013 confirme que les problèmes occulaires de la recourante étaient déjà présents avant 2013, puisqu’il a indiqué qu’elle avait subi une greffe de la cornée en 2007 à l’œil gauche. La recourante a eu son second enfant en 2011. Dans la mesure où elle a indiqué à l’OAI le 7 mars 2014, que sans atteinte aux yeux, elle travaillerait entre 50 et 80% (statut mixte pour s’occuper de ses enfants), il apparaît vraisemblable qu’en 2015, elle aurait encore travaillé à 50%, son dernier enfant étant encore relativement jeune. Le temps passant, il est toutefois probable qu’elle aurait augmenté son temps de travail, ses deux enfants étant de plus en plus autonomes, vu notamment les revenus relativement limités de son mari, qu’elle souhaitait aider financièrement. Il ressort de l’enquête économique sur le ménage du 19 septembre 2017 que mensuellement le salaire de l’époux de l’assurée était de CHF 5’000.-, leur loyer était de CHF 1400.- et qu’ils payaient pour l’assurance-maladie environ CHF 1'000.- pour la famille, avec des subsides pour les enfants. La situation financière de la famille pouvait ainsi motiver la recourante à travailler à plus de 50%, ce d’autant plus qu’elle a déclaré à la chambre de céans qu’elle voulait aider son mari, car il travaillait beaucoup, même le weekend. Lors de l’enquête économique, la recourante a confirmé que sans atteinte à la santé, elle travaillerait comme nettoyeuse à 80%, ce qui lui permettrait d’être avec ses enfants le mercredi, précisant qu’elle pourrait trouver une personne pour chercher sa fille de</w:t>
      </w:r>
    </w:p>
    <w:p>
      <w:r>
        <w:rPr>
          <w:b/>
        </w:rPr>
        <w:t>E. 7.1</w:t>
      </w:r>
    </w:p>
    <w:p>
      <w:r>
        <w:t>Selon l’art. 27bis RAI en vigueur depuis le 1er janvier 2018, pour les personnes qui exercent une activité lucrative à temps partiel et accomplissent par ailleurs des travaux habituels visés à l'art. 7, al. 2, de la loi, le taux d'invalidité est déterminé</w:t>
      </w:r>
    </w:p>
    <w:p>
      <w:r>
        <w:t>A/1929/2019 - 13/17 -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w:t>
      </w:r>
    </w:p>
    <w:p>
      <w:r>
        <w:rPr>
          <w:b/>
        </w:rPr>
        <w:t>E. 7.2</w:t>
      </w:r>
    </w:p>
    <w:p>
      <w:r>
        <w:t>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w:t>
      </w:r>
    </w:p>
    <w:p>
      <w:r>
        <w:t>A/1929/2019 - 14/17 -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7.3</w:t>
      </w:r>
    </w:p>
    <w:p>
      <w:r>
        <w:t>L'invalidité des assurés qui n'exercent que partiellement une activité lucrative est, pour cette part, évaluée selon la méthode ordinaire de comparaison des revenus (art. 28a al. 3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A/1929/2019 - 15/17 - éléments qui peuvent influencer le revenu d'une activité lucrative (ATF 126 V 75 consid. 5b/aa-cc).</w:t>
      </w:r>
    </w:p>
    <w:p>
      <w:r>
        <w:rPr>
          <w:b/>
        </w:rPr>
        <w:t>E. 7.4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8.1. La recourante a fait valoir que l’intimé aurait dû retenir un abattement de 20% sur le salaire statistique pris en considération pour le salaire d’invalide, faisant valoir qu’elle cumulait des obstacles particuliers. Outre le fait que de nombreux emplois non qualifiés n’étaient plus à sa portée, il fallait encore qu’elle trouve un employeur d’accord d’accepter l’aménagement d’une place de travail et des pauses régulières pour éviter la fatigue oculaire ainsi que des absences fréquentes dues à la fatigue et aux maux de tête qui l’accompagnaient. Selon la jurisprudence, il n'y a pas lieu de tenir compte des limitations fonctionnelles au titre d'un abattement supplémentaire lorsqu'elles ont déjà conduit un médecin à réduire la capacité de travail d'un assuré (arrêt du Tribunal fédéral 9C_273/2019 du 18 juillet 2019), ce qui est le cas en l’occurrence. C’est donc à juste titre que l’intimé n’a pas retenu d’abattement supplémentaire au revenu avec invalidité retenu dans ses calculs du taux d’invalidité.</w:t>
      </w:r>
    </w:p>
    <w:p>
      <w:r>
        <w:rPr>
          <w:b/>
        </w:rPr>
        <w:t>E. 8.2.1</w:t>
      </w:r>
    </w:p>
    <w:p>
      <w:r>
        <w:t>Il résulte des considérations qui précèdent que la décision querellée doit être confirmée en tant qu’elle octroie une demi-rente à la recourante pour la période du 1er novembre 2014 au 30 septembre 2015, en retenant un statut d’une personne se consacrant à 50% à une activité professionnelle et à 50% à l’accomplissement des travaux habituels dans le ménage et une incapacité de travail totale.</w:t>
      </w:r>
    </w:p>
    <w:p>
      <w:r>
        <w:rPr>
          <w:b/>
        </w:rPr>
        <w:t>E. 8.2.2</w:t>
      </w:r>
    </w:p>
    <w:p>
      <w:r>
        <w:t>S’agissant de la période courant dès le 1er octobre 2015, la recourante était capable de travailler à 30% dans une activité adaptée, comme cela a été retenu ci- dessus. En reprenant les chiffres déterminés par l’OAI dans sa note du 14 juin 2017, en 2015, mais en tenant compte de cette capacité de travail résiduelle, le revenu avec invalidité est CHF 16'216.- (30% x CHF 54'055.-) et le revenu sans invalidité de CHF 24'511.-. Le taux d’invalidité de la recourante était ainsi de 33,8% en 2015 (CHF 24'511.- – CHF 16'216.- x 100 / CHF 24'511.-). Pondéré avec le taux d’invalidité dans l’activité ménagère (0%), le taux d’invalidité totale est de 16,50%, ce qui n’ouvre pas le droit à une rente d’invalidité à la recourante.</w:t>
      </w:r>
    </w:p>
    <w:p>
      <w:r>
        <w:t>A/1929/2019 - 16/17 - À toutes fins utiles, il sera relevé que s’il avait été, par hypothèse, tenu compte d’un statut mixte (80%-20%), le taux d’invalidité global aurait été de 27%, ce qui n’aurait pas non plus ouvert le droit à une rente d’invalidité à la recourante.</w:t>
      </w:r>
    </w:p>
    <w:p>
      <w:r>
        <w:rPr>
          <w:b/>
        </w:rPr>
        <w:t>E. 8.2.3</w:t>
      </w:r>
    </w:p>
    <w:p>
      <w:r>
        <w:t>Dès janvier 2018, le taux d’invalidité doit être recalculé avec un statut mixte (80% - 20%) et la nouvelle méthode de calcul de l’art. 27bis RAI, et en tenant toujours compte d’une capacité de travail résiduelle de 30%. Si l’on reprend les chiffres mentionnés dans la note de l’intimé du 12 novembre 2018, le revenu avec invalidité à prendre en compte est de CHF 16'435.- (CHF 54'783.- x 30%) et le revenu sans invalidité de CHF 49'624.-. Ce dernier chiffre ne correspond toutefois pas à l’indexation en 2018 du revenu avec invalidité de CHF 24'000.- à 50% en 2012 retenu par l’intimé et extrapolé à 100%, lequel est de CHF 49'862.- (x 2732 /2630 =24'931.- x 2 = 49'862.-). Il y donc lieu de prendre en compte un revenu sans invalidité de CHF 49'862.-. Le taux d’invalidité, en tenant compte de ces revenus, est de 67% dans la sphère professionnelle (CHF 49'862.- – CHF 16'435.- x 100 / CHF 49'862.-). Ce qui donne un taux d’invalidité pondéré de 54%, qui ouvre à la recourante le droit à une demi-rente d’invalidité dès janvier 2018.</w:t>
      </w:r>
    </w:p>
    <w:p>
      <w:r>
        <w:rPr>
          <w:b/>
        </w:rPr>
        <w:t>E. 9</w:t>
      </w:r>
    </w:p>
    <w:p>
      <w:r>
        <w:t>Le recours doit ainsi être partiellement admis. La recourante obtenant en partie gain de cause, une indemnité de CHF 2'500.- lui sera accordée à titre de participation à ses frais et dépens (art. 61 let. g LPGA; art. 6 du règlement sur les frais, émoluments et indemnités en matière administrative du 30 juillet 1986 [RFPA - E 5 10.03]), à la charge de l’intimé. Un émolument de CHF 200.- sera mis à la charge de l’intimé (art. 69 al. 1bis LAI).</w:t>
      </w:r>
    </w:p>
    <w:p>
      <w:r>
        <w:t>A/1929/2019 - 17/17 -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