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ATAS/1340/2014 vom 23. Dezember 2014</w:t>
      </w:r>
    </w:p>
    <w:p>
      <w:r>
        <w:t>GE Cour de justice, 2014-12-23, FR</w:t>
      </w:r>
    </w:p>
    <w:p>
      <w:r>
        <w:rPr>
          <w:b/>
        </w:rPr>
        <w:t xml:space="preserve">Quelle: </w:t>
      </w:r>
      <w:r>
        <w:t>https://mcp.opencaselaw.ch/entscheid/ge_gerichte_ATAS_1340_2014</w:t>
      </w:r>
    </w:p>
    <w:p>
      <w:r>
        <w:t>FR: GE_GERICHTE ATAS/1340/2014 du 23 décembre 2014</w:t>
      </w:r>
    </w:p>
    <w:p>
      <w:r>
        <w:t>IT: GE_GERICHTE ATAS/1340/2014 del 23 dicembre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l'assurance-accidents, du 20 mars 1981 (LAA; RS 832.20). Sa compétence pour juger du cas d’espèce est ainsi établie.</w:t>
      </w:r>
    </w:p>
    <w:p>
      <w:r>
        <w:rPr>
          <w:b/>
        </w:rPr>
        <w:t>E. 2</w:t>
      </w:r>
    </w:p>
    <w:p>
      <w:r>
        <w:t>A teneur de l'art. 1 al. 1 LAA, les dispositions de la LPGA s'appliquent à l'assu- 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w:t>
      </w:r>
    </w:p>
    <w:p>
      <w:r>
        <w:t>A/1353/2013 - 10/14 - 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bien-fondé de la décision de l’intimée de mettre fin à sa prise en charge du traitement relatif au pouce gauche du recourant avec effet au 12 juillet 2012.</w:t>
      </w:r>
    </w:p>
    <w:p>
      <w:r>
        <w:rPr>
          <w:b/>
        </w:rPr>
        <w:t>E. 5</w:t>
      </w:r>
    </w:p>
    <w:p>
      <w:r>
        <w:t>Selon l'art. 6 al. 1 LAA, les prestations d'assurance sont allouées en cas d'accident professionnel, d'accident non professionnel et de maladie professionnelle. Par acci- dent, on entend toute atteinte dommageable, soudaine et involontaire, portée au corps humain par une cause extérieure extraordinaire qui compromet la santé phy- sique, mentale ou psychique ou qui entraîne la mort (art. 4 LPGA; ATF 129 V 402 consid. 2.1, ATF 122 V 230 consid. 1 et les références). La responsabilité de l’assureur-accidents s’étend, en principe, à toutes les consé- 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 voqué l'atteinte à la santé physique ou psychique de l'assuré, c'est-à-dire qu'il se présente comme la condition sine qua non de celle-ci. Savoir si l'événement assuré et l'atteinte à la santé sont liés par un rapport de causa- lité naturelle est une question de fait, que l'administration ou, le cas échéant, le juge examine en se fondant essentiellement sur des renseignements d'ordre médical, et qui doit être tranchée en se conformant à la règle du degré de vraisemblance pré- 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 dent (raisonnement «post hoc, ergo propter hoc»; ATF 119 V 335 consid. 2b/bb; RAMA 1999 n° U 341 p. 408, consid. 3b). Il convient en principe d'en rechercher</w:t>
      </w:r>
    </w:p>
    <w:p>
      <w:r>
        <w:t>A/1353/2013 - 11/14 -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 titue pas (plus) la cause naturelle et adéquate du dommage, soit lorsque ce dernier résulte exclusivement de causes étrangères à l'accident. Tel est le cas lorsque l'état de santé de l'intéressé est similaire à celui qui existait immédiatement avant l'acci- dent (statu quo ante) ou à celui qui serait survenu tôt ou tard même sans l'accident par suite d'un développement ordinaire (statu quo sine) (RAMA 1994 n° U 206 p. 328 consid. 3b; RAMA 1992 n° U 142 p. 75 consid. 4b). En principe, on exami- nera si l’atteinte à la santé est encore imputable à l’accident ou ne l’est plus (statu quo ante ou statu quo sine) selon le critère de la vraisemblance prépondérante, usuel en matière de preuve dans le domaine des assurances sociales (ATF 126 V 360 con- sid. 5b; ATF 125 V 195 consid. 2; RAMA 2000 n° U 363 p. 46).</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 venance de ce résultat paraissant de façon générale favorisée par une telle circons- 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La plupart des éventualités assurées (par exemple la maladie, l'accident, l'incapacité de travail, l'invalidité, l'atteinte à l'intégrité physique ou mentale) supposent l'ins- 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w:t>
      </w:r>
    </w:p>
    <w:p>
      <w:r>
        <w:t>A/1353/2013 - 12/14 -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Enfin, une expertise médicale établie sur la base d'un dossier peut avoir valeur pro- bante pour autant que celui-ci contienne suffisamment d'appréciations médicales qui, elles, se fondent sur un examen personnel de l'assuré (RAMA 2001 n° U 438 p. 346 consid. 3d).</w:t>
      </w:r>
    </w:p>
    <w:p>
      <w:r>
        <w:rPr>
          <w:b/>
        </w:rPr>
        <w:t>E. 10</w:t>
      </w:r>
    </w:p>
    <w:p>
      <w:r>
        <w:t>En l’espèce, c’est précisément en raison de la controverse entre les différents spé- cialistes que la Cour de céans a mis sur pied une expertise judiciaire qu’elle a con- fiée au Dr E_____, spécialiste FMH en chirurgie de la main. Son rapport remplit tous les critères jurisprudentiels permettant de lui reconnaître pleine valeur probante, étant rappelé que le juge ne s'écarte pas sans motifs impéra- 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En outre, lorsque d'autres spécialistes émettent des opi- nions contraires aptes à mettre sérieusement en doute la pertinence des déductions de l'expert, on ne peut exclure, selon les cas, une interprétation divergente des con- clusions de ce dernier par le juge ou, au besoin, une instruction complémentaire sous la forme d'une nouvelle expertise médicale (ATF 125 V 351 consid. 3b/aa et les références). En l’occurrence, les explications - fort détaillées - de l’expert, ne contiennent au- cune contradiction. Quant aux réflexions du médecin-conseil de l’intimée, elles n’apparaissent pas de nature à faire douter des conclusions de l’expert, au demeurant corroborées par celles du Dr D_____. Le fait que l’expert ait attribué au recourant un âge de 28 ans (recte : 38) au mo- ment des faits semble dénué de pertinence. Outre qu’il s’agit sans doute d’une simple erreur de plume, l’expert n’en a tiré aucune conclusion particulière. S’il a conclu, par la suite, à l’absence d’un état dégénératif préexistant, c’est en étudiant les clichés du recourant. Quant au fait que les premiers troubles à la main gauche remontent à avril 2012 et non à juin 2012, il est également sans conséquences sur les conclusions de l’expert judiciaire.</w:t>
      </w:r>
    </w:p>
    <w:p>
      <w:r>
        <w:t>A/1353/2013 - 13/14 - Les explications de l’expert s’agissant de la main dominante apparaissent convain- cantes. Au demeurant, le médecin-conseil de l’intimée ne fait que substituer sa propre appréciation à celle de l’expert en avançant l’hypothèse que la symptomato- logie soit devenue prédominante à gauche s’explique simplement par l’importance des lésions prédominant de ce côté-là. Le Dr F_____ se contente de répéter qu’il existait un état dégénératif préexistant alors même que l’expert explique clairement que rien de tel ne ressort des clichés qui montraient, au contraire, une subluxation et un petit arrachement dont le Dr F_____ a reconnu qu’ils étaient d’étiologie traumatique. Il apparaît enfin contradictoire de la part du Dr F_____ de s’étonner que des inves- tigations n’aient été menées au niveau du pouce gauche qu’après qu’un certain laps de temps s’est écoulé depuis la chute de snowboard pour affirmer ensuite que les lésions traumatiques remontent sans doute à un évènement encore antérieur. Il n’existe dès lors aucun élément conduisant à s’écarter des conclusions de l’expert judiciaire. Il sera donc retenu que le lien de causalité naturelle entre l’atteinte au pouce gauche et l’évènement de décembre 2011 existe bel et bien. Quant au lien de causalité adéquate, il peut être reconnu sans autre, s’agissant d’une lésion physique. Il en découle que c’est à tort que l’intimée a mis fin à sa prise en charge avec effet au 12 juillet 2012. En ce sens, le recours est admis. En revanche, les conclusions du recourant visant à l’octroi d’une indemnité pour atteinte à l’intégrité sont rejetées dans la mesure où, aux dires de l’expert lui-même, l’intervention préconisée - dont la nécessité a été reconnue par le médecin-conseil - permettra de rétablir une situa- tion normale.</w:t>
      </w:r>
    </w:p>
    <w:p>
      <w:r>
        <w:rPr>
          <w:b/>
        </w:rPr>
        <w:t>E. 11</w:t>
      </w:r>
    </w:p>
    <w:p>
      <w:r>
        <w:t>Au vu de ce qui précède, le recours sera admis et la décision du 4 mars 2013 annu- lée. Le recourant obtenant gain de cause, une indemnité de CHF 3'500.- lui sera accor- dée à titre de participation à ses frais et dépens (art. 61 let. g LPGA). Pour le surplus, la procédure est gratuite (art. 61 let. a LPGA).</w:t>
      </w:r>
    </w:p>
    <w:p>
      <w:r>
        <w:t>A/1353/2013 - 14/14 -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