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ATAS/1340/2012 vom 6. November 2012</w:t>
      </w:r>
    </w:p>
    <w:p>
      <w:r>
        <w:t>GE Cour de justice, 2012-11-06, FR</w:t>
      </w:r>
    </w:p>
    <w:p>
      <w:r>
        <w:rPr>
          <w:b/>
        </w:rPr>
        <w:t xml:space="preserve">Quelle: </w:t>
      </w:r>
      <w:r>
        <w:t>https://mcp.opencaselaw.ch/entscheid/ge_gerichte_ATAS_1340_2012</w:t>
      </w:r>
    </w:p>
    <w:p>
      <w:r>
        <w:t>FR: GE_GERICHTE ATAS/1340/2012 du 6 novembre 2012</w:t>
      </w:r>
    </w:p>
    <w:p>
      <w:r>
        <w:t>IT: GE_GERICHTE ATAS/1340/2012 del 6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A/1917/2012 - 8/13 -</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 et des mesures d'ordre professionnel.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 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A/1917/2012 - 9/13 -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A/1917/2012 - 10/13 -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En l'espèce, l'intimé a procédé à une enquête ménagère ainsi qu'à deux examens rhumatologiques et un examen psychiatrique. Il a conclu à une capacité de travail résiduelle de la recourante de 50%, en raison de ses seules atteintes ostéoarticulaires, dans une activité adaptée à ses limitations fonctionnelles, c'est-à- dire où elle peut alterner deux fois par heure la position assise et la position debout, n'a pas à soulever et/ou porter régulièrement de charges d'un poids excédent 5kg, ne travaille pas en porte-à-faux statique prolongé du tronc et ne s'expose pas à des vibrations. S'agissant des troubles psychiatriques, les médecins du SMR ont conclu qu'ils n'avaient aucune répercussion sur la capacité de travail de la recourante dès la fin du mois d'août 2009. En particulier, le psychiatre traitant de la recourante lui avait administré une médication adaptée et elle avait rapidement pu se sentir mieux sur ce plan. Le praticien en question ne décrivait par ailleurs aucun symptôme en faveur d'un état dépressif sévère, de sorte qu'il se justifiait de conclure que ce diagnostic était sans répercussion sur la capacité de travail de la recourante. De son côté, la recourante a estimé qu'elle n'était plus du tout en mesure de reprendre une activité professionnelle, quelle qu'elle soit, motif pris qu'elle ne pouvait pas rester debout plus de 30 minutes, qu'elle souffrait de problèmes de concentration et ressentait des douleurs quotidiennes. Elle a par ailleurs allégué</w:t>
      </w:r>
    </w:p>
    <w:p>
      <w:r>
        <w:t>A/1917/2012 - 11/13 - que, depuis janvier 2012, son état de santé s'était aggravé; elle souffrait désormais également de problèmes d'hypertension, de vertiges et de maux de tête presque tous les jours et ses pieds étaient engourdis. Elle a dès lors considéré qu'il était totalement illusoire de prétendre qu'elle pouvait reprendre une activité à 50%, même adaptée.</w:t>
      </w:r>
    </w:p>
    <w:p>
      <w:r>
        <w:rPr>
          <w:b/>
        </w:rPr>
        <w:t>E. 12</w:t>
      </w:r>
    </w:p>
    <w:p>
      <w:r>
        <w:t>S'agissant premièrement de la valeur probante de l'enquête ménagère sur laquelle l'OAI s'est fondé pour procéder au calcul de l'invalidité, il apparaît que l'enquêtrice a scindé le champ d'activités ménagères en sept postes comme le préconise le chiffre 3086 de la circulaire concernant l'invalidité et l'impotence de l'AI de l'Office fédéral des assurances sociales (CIIAI). Le contenu de son rapport est suffisamment motivé, les limitations fonctionnelles y sont décrites de manière claire et les indications de la recourante y sont consignées. En particulier, l'enquêtrice relève que la recourante doit éviter les positions statiques prolongées, en porte-à-faux, le port de charges supérieures à 10kg et changer de position régulièrement. Au demeurant, la recourante n'apporte pas d'élément qui permette de remettre en question les conclusions de l'enquêtrice. Elle ne conteste d'ailleurs pas la valeur probante de ce rapport. Compte tenu de ce qui précède, il convient de reconnaître pleine valeur probante à l'enquête ménagère et de conclure que, dans sa sphère personnelle, la recourante présente un empêchement de 13,75%.</w:t>
      </w:r>
    </w:p>
    <w:p>
      <w:r>
        <w:rPr>
          <w:b/>
        </w:rPr>
        <w:t>E. 13</w:t>
      </w:r>
    </w:p>
    <w:p>
      <w:r>
        <w:t>La recourante conteste essentiellement la conclusion du SMR selon laquelle, dans une activité adaptée à ses limitations fonctionnelles, elle présente une capacité résiduelle de travail de 50%. Se référant aux rapports de ses médecins-traitants, et en particulier à ceux de la Dresse D__________, la recourante estime que, sur le plan ostéoarticulaire, elle n'est plus en mesure d'exercer une activité lucrative, quelle qu'elle soit. Il apparaît en l'occurrence que le SMR s'est livré à une étude approfondie du cas de la recourante. Après l'avoir examinée et tenu compte des rapports de ses médecins- traitants ainsi que de ses plaintes, le SMR est parvenu à la conclusion que, dès 2011, l'assurée a présenté une aggravation de son état de santé, caractérisée par une boiterie d'appui, des troubles statiques du rachis, une mobilité lombaire diminuée par rapport à l'examen d'août 2010, une rétroflexion du tronc et des articualtions sacro-iliaques douloureuses des deux côtés. En raison de cette aggravation, il a conclu à une diminution de sa capacité de travail; si en 2009, ladite capacité était de 70%, elle est désormais estimée à 50% dans une activité respectant les limitations fonctionnelles ostéoarticulaires de la recourante. Certes, la Dresse D__________ estime que sa patiente n’est pas en mesure de reprendre une activité professionnelle, même à un faible taux. Cette praticienne ne pose pourtant pas de diagnostics et ne décrit pas de limitations fonctionnelles qui</w:t>
      </w:r>
    </w:p>
    <w:p>
      <w:r>
        <w:t>A/1917/2012 - 12/13 - iraient au-delà de ceux retenus par le SMR. Elle a en effet uniquement précisé que, vu l'activité de la maladie, marquée par des périodes fréquentes d'exacerbation des douleurs, sa patiente n'est plus en mesure de travailler. Il apparaît dès lors que le médecin-traitant se livre à une appréciation différente du cas de sa patiente, plus favorable, sans pour autant apporter d’éléments objectifs de nature à remettre en cause la valeur probante des avis du SMR des 17 août 2010 et 30 janvier 2012. Sur le plan psychiatrique, il apparaît que la dépression dont souffrait la recourante en 2009 est sans répercussion sur sa capacité de travail. Un traitement antidépresseur a en effet été institué dans les règles de l'art et l'amélioration de l'état de santé de la recourante a pu être constatée rapidement. Dans son recours, la recourante n'allègue d'ailleurs pas souffrir d'un quelconque état dépressif. De même, son psychiatre traitant n'a pas décrit de symptômes (tristesse, idées noires, fatigue, etc..) en faveur d'un tel diagnostic et a considéré que sa patiente pouvait reprendre une activité, sans parvenir à en préciser le taux.</w:t>
      </w:r>
    </w:p>
    <w:p>
      <w:r>
        <w:rPr>
          <w:b/>
        </w:rPr>
        <w:t>E. 14</w:t>
      </w:r>
    </w:p>
    <w:p>
      <w:r>
        <w:t>Il s'ensuit que c'est à bon droit que l'intimé a retenu une capacité résiduelle de travail de 50% dans une activité adaptée. Le calcul de l'invalidité ne prête d'ailleurs pas le flanc à la critique (ESS, abattement de 10%).</w:t>
      </w:r>
    </w:p>
    <w:p>
      <w:r>
        <w:rPr>
          <w:b/>
        </w:rPr>
        <w:t>E. 15</w:t>
      </w:r>
    </w:p>
    <w:p>
      <w:r>
        <w:t>S'agissant des mesures d'ordre professionnel, il apparaît que la recourante ne se voit pas entreprendre des démarches en vu d'une reprise d'activité. Dans ce contexte, il apparaît inutile de mettre une mesure de réadaptation professionnelle en œuvre. La Cour relèvera toutefois que, si la recourante le souhaite, l'intimé s'est montré disposé à lui dispenser une aide au placement. Il lui appartient, cas échéant, de formuler une demande en ce sens à l'OAI.</w:t>
      </w:r>
    </w:p>
    <w:p>
      <w:r>
        <w:rPr>
          <w:b/>
        </w:rPr>
        <w:t>E. 16</w:t>
      </w:r>
    </w:p>
    <w:p>
      <w:r>
        <w:t>Enfin, si la recourante s'estime fondée à déposer une nouvelle demande de prestations, en raison d'une aggravation de son état de santé postérieurement à la décision entreprise, elle a la possibilité de le faire.</w:t>
      </w:r>
    </w:p>
    <w:p>
      <w:r>
        <w:rPr>
          <w:b/>
        </w:rPr>
        <w:t>E. 17</w:t>
      </w:r>
    </w:p>
    <w:p>
      <w:r>
        <w:t>Au vu de ce qui précède, le recours sera rejeté. Étant donné que depuis le 1er juillet 2006, la procédure n'est plus gratuite (art. 69 al. 1bis LAI), il y a lieu de condamner la recourante au paiement d'un émolument de 200 fr.</w:t>
      </w:r>
    </w:p>
    <w:p>
      <w:r>
        <w:t>A/1917/2012 - 13/13 -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