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ATAS/133/2020 vom 24. Februar 2020</w:t>
      </w:r>
    </w:p>
    <w:p>
      <w:r>
        <w:t>GE Cour de justice, 2020-02-24, FR</w:t>
      </w:r>
    </w:p>
    <w:p>
      <w:r>
        <w:rPr>
          <w:b/>
        </w:rPr>
        <w:t xml:space="preserve">Quelle: </w:t>
      </w:r>
      <w:r>
        <w:t>https://mcp.opencaselaw.ch/entscheid/ge_gerichte_ATAS_133_2020</w:t>
      </w:r>
    </w:p>
    <w:p>
      <w:r>
        <w:t>FR: GE_GERICHTE ATAS/133/2020 du 24 février 2020</w:t>
      </w:r>
    </w:p>
    <w:p>
      <w:r>
        <w:t>IT: GE_GERICHTE ATAS/133/2020 del 24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présent recours, interjeté en temps utile, est recevable (art. 60 al. 1 LPGA).</w:t>
      </w:r>
    </w:p>
    <w:p>
      <w:r>
        <w:rPr>
          <w:b/>
        </w:rPr>
        <w:t>E. 3</w:t>
      </w:r>
    </w:p>
    <w:p>
      <w:r>
        <w:t>Le litige porte sur le droit de l'intimé de prononcer à l'encontre du recourant une suspension d'une durée de 7 jours dans l'exercice de son droit à l'indemnité, au motif que ses RPE pour le mois de février 2019 ont été remises tardivement.</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L’art. 30 al. 1 LACI dispose que le droit de l’assuré à l’indemnité est suspendu, notamment lorsqu’il est établi que celui-ci ne fait pas tout ce qu’on peut</w:t>
      </w:r>
    </w:p>
    <w:p>
      <w:r>
        <w:t>A/1890/2019 - 5/8 -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est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w:t>
      </w:r>
    </w:p>
    <w:p>
      <w:r>
        <w:rPr>
          <w:b/>
        </w:rPr>
        <w:t>E. 9</w:t>
      </w:r>
    </w:p>
    <w:p>
      <w:r>
        <w:t>En conséquence le recours sera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