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ATAS/1336/2021 vom 22. Dezember 2021</w:t>
      </w:r>
    </w:p>
    <w:p>
      <w:r>
        <w:t>GE Cour de justice, 2021-12-22, FR</w:t>
      </w:r>
    </w:p>
    <w:p>
      <w:r>
        <w:rPr>
          <w:b/>
        </w:rPr>
        <w:t xml:space="preserve">Quelle: </w:t>
      </w:r>
      <w:r>
        <w:t>https://mcp.opencaselaw.ch/entscheid/ge_gerichte_ATAS_1336_2021</w:t>
      </w:r>
    </w:p>
    <w:p>
      <w:r>
        <w:t>FR: GE_GERICHTE ATAS/1336/2021 du 22 décembre 2021</w:t>
      </w:r>
    </w:p>
    <w:p>
      <w:r>
        <w:t>IT: GE_GERICHTE ATAS/1336/2021 del 22 dicembre 2021</w:t>
      </w:r>
    </w:p>
    <w:p>
      <w:pPr>
        <w:pStyle w:val="Heading2"/>
      </w:pPr>
      <w:r>
        <w:t>Erwägungen</w:t>
      </w:r>
    </w:p>
    <w:p>
      <w:r>
        <w:rPr>
          <w:b/>
        </w:rPr>
        <w:t>E. 1</w:t>
      </w:r>
    </w:p>
    <w:p>
      <w:r>
        <w:t>Les questions de compétence de la Cour de céans et de recevabilité du recours ayant d'ores et déjà été examinées dans l'ordonnance du 4 novembre 2019, il est inutile d'y revenir ici.</w:t>
      </w:r>
    </w:p>
    <w:p>
      <w:r>
        <w:rPr>
          <w:b/>
        </w:rPr>
        <w:t>E. 2</w:t>
      </w:r>
    </w:p>
    <w:p>
      <w:r>
        <w:t>Le litige porte sur le bien-fondé de la décision de l’intimée refusant de prendre en charge les soins dentaires de la dent 35.</w:t>
      </w:r>
    </w:p>
    <w:p>
      <w:r>
        <w:rPr>
          <w:b/>
        </w:rPr>
        <w:t>E. 3</w:t>
      </w:r>
    </w:p>
    <w:p>
      <w:r>
        <w:t>Selon l'art. 25 LAMal,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l’art. 31 al. 1 LAMal,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 Conformément à l'art. 33 al. 2 et 5 LAMal, en corrélation avec l'art. 33 let. d de l'ordonnance sur l'assurance-maladie du 27 juin 1995 (OAMal - RS 832.102), le Département fédéral de l'intérieur a édicté les art. 17 à 19a de l'Ordonnance sur les prestations dans l'assurance obligatoire des soins en cas de maladie du 29 septembre 1995 (OPAS - RS 832.112.31), qui se rapportent à chacune des éventualités prévues à l'art. 31 al. 1 LAMa. Ainsi, l'art. 17 OPAS énumère les maladies graves et non évitables du système de la mastication au sens de l'art. 31 al. 1 let. a LAMal, qui ouvrent droit à la prise en charge des coûts des traitements dentaires par l'assurance obligatoire des soins. L'art. 18 OPAS mentionne d'autres maladies graves susceptibles d'occasionner des soins dentaires (art. 31 al. 1 let. b LAMal) ; il s'agit de maladies qui ne sont pas, comme telles, des maladies du système de la mastication, mais qui ont des effets nuisibles sur ce</w:t>
      </w:r>
    </w:p>
    <w:p>
      <w:r>
        <w:t>A/2295/2018 - 9/17 - dernier. L'art. 19 OPAS prévoit que l'assurance prend en charge les soins dentaires nécessaires aux traitements de certains foyers infectieux bien définis (art. 31 al. 1 let. c LAMal). Enfin l'art. 19a OPAS règle les conditions de la prise en charge des frais dentaires occasionnés par certaines infirmités congénitales. À teneur de l’art. 17 OPAS, à condition que l'affection puisse être qualifiée de maladie et le traitement n'étant pris en charge par l'assurance que dans la mesure où le traitement de l'affection l'exige, l'assurance prend en charge les soins dentaires occasionnés par les maladies graves et non évitables suivantes du système de la mastication (art. 31 al. 1 let. a ch. 1 et 2 LAMal) : les granulomes dentaires internes idiopathiques (ch. 1) et les dislocations dentaires, dents ou germes dentaires surnuméraires, pouvant être qualifiées de maladie (par ex. : abcès, kyste; ch. 2).</w:t>
      </w:r>
    </w:p>
    <w:p>
      <w:r>
        <w:rPr>
          <w:b/>
        </w:rPr>
        <w:t>E. 4</w:t>
      </w:r>
    </w:p>
    <w:p>
      <w:r>
        <w:t>Selon une jurisprudence constante, la liste des affections de nature à nécessiter des soins dentaires à la charge de l'assurance obligatoire des soins en cas de maladie est exhaustive (ATF 127 V 332 consid. 3a ; ATF 127 V 343 consid. 3b ; ATF 124 V 185). Le Tribunal fédéral des assurances a été amené à considérer, de manière générale, que, dans la mesure où elle suppose l'existence d'une atteinte qualifiée à la santé, la notion de maladie au sens des art. 17 (phrase introductive) et 17 let. a ch. 2 OPAS, est plus restrictive que la notion de maladie valable généralement dans l'assurance-maladie sociale (art. 2 al. 1 LAMal). Autrement dit, le degré de gravité de la maladie est une des conditions de la prise en charge par l'assurance- maladie des traitements dentaires ; les atteintes à la santé qui ne présentent pas ce degré de gravité n'entrent pas dans les prévisions de l'art. 31 al. 1 LAMal. Est « évitable » toute maladie du système de la mastication qui peut être évitée par une bonne hygiène buccale et dentaire. Dans ce sens, sont visées la carie et la parodontite (ATF 129 V 279 consid. 3.3 ; ATF 125 V 19 consid. 3a ; SVR 1999 KV 11 consid. 1b/aa). L'atteinte de la fonction masticatoire résultant d'une hygiène buccale insuffisante ne donne lieu à prestation que si elle était objectivement non évitable (ATF 128 V 70). Cela suppose une hygiène buccale suffisante au regard des connaissances odontologiques actuelles. Une telle hygiène exige des efforts sous forme de soins quotidiens, notamment le nettoyage des dents, l'autocontrôle, dans la mesure où cela est possible par un non professionnel, la consultation d'un dentiste dès l'apparition de particularités dans le système de mastication, ainsi que des contrôles et traitements périodiques par un dentiste, y compris une hygiène dentaire professionnelle périodique (ATF 128 V 60 consid. 4a). Par ailleurs, une personne assurée qui présente une sensibilité accrue aux affections dentaires, en raison de sa constitution, de maladies dont elle a souffert ou de traitements qu'elle a suivis, ne peut se contenter d'une hygiène buccale usuelle. Néanmoins, l'hygiène buccale doit rester dans la mesure du raisonnable et de l'exigible en ce qui</w:t>
      </w:r>
    </w:p>
    <w:p>
      <w:r>
        <w:t>A/2295/2018 - 10/17 - concerne aussi bien les soins quotidiens que les contrôles périodiques chez un dentiste (ATF 128 V 60 consid. 6d).</w:t>
      </w:r>
    </w:p>
    <w:p>
      <w:r>
        <w:rPr>
          <w:b/>
        </w:rPr>
        <w:t>E. 5</w:t>
      </w:r>
    </w:p>
    <w:p>
      <w:r>
        <w:t>La prise en charge de soins dentaires repose sur le principe suivant : une hygiène buccale appropriée permet de prévenir l’apparition de caries, de parodontites ou la perte de dents. Si bien que l’assurance-maladie obligatoire ne rembourse que les soins buccodentaires occasionnés par une maladie grave ou inévitable, donc à des conditions restrictives. Pour être pris en charge, les soins dentaires doivent être en rapport d’interaction avec les maladies, c’est-à-dire soit occasionnés par certaines d’entre elles (art. 17 et 18 OPAS), soit favoriser leur traitement (art. 19 OPAS) (Dominique MANAÏ, Droits du patient face à la biomédecine, 2013, p. 181). L’art. 31 al. 1 let. a LAMal prévoit que les coûts des soins dentaires sont pris en charge par l’assurance obligatoire s’ils sont occasionnés par une maladie grave et non évitable du système de la mastication. Il s’agit d’une exception au principe selon lequel les soins dentaires ne sont pas couverts par l’assurance-maladie obligatoire. Trois conditions doivent être réalisées : la première est l’existence d’une maladie. Dans les cas des soins dentaires, il y a atteinte à la santé lorsque l’assuré ne peut pas accomplir de façon satisfaisante des fonctions essentielles comme broyer, mordre, mastiquer et articuler. Une atteinte pathologique est un état, actuel ou imminent, qui ne peut être prévenu par des mesures prophylactiques et qui, à défaut d’intervention, entrave la fonction masticatoire. La deuxième condition pour la prise en charge des traitements dentaires par l’assurance-maladie est le degré de gravité de la maladie. En effet, les atteintes à la santé qui ne présentent pas ce degré de gravité n’entrent pas dans les prévisions de l’art. 31 al. 1 LAMal. Ainsi, la notion de maladie au sens des art. 17 et 17 let. a ch. 2 OPAS est plus restrictive que celle qui s’applique de manière générale à l’assurance-maladie sociale selon l’art. 2 al. 1 LAMal. Il s’agit d’une atteinte qualifiée. La troisième condition est le caractère non évitable de la maladie. Il s’agit d’une maladie qui surviendrait malgré une bonne hygiène buccale et dentaire, et conformément à l’état des connaissances du moment en matière de médecine dentaire. Le législateur voulait par-là encourager la prévention des caries et des parodontites, ainsi que toute autre maladie évitable et non grave du système de la mastication, impliquant ainsi la responsabilité personnelle du patient. Ainsi, un granulome dentaire interne idiopathique est une maladie non évitable. A contrario, un granulome interne découlant d’un traumatisme dentaire ou d’une affection de la pulpe due à la carie est considéré comme évitable et n’implique donc pas une prise en charge par l’assurance-maladie. De même, un granulome externe est considéré comme évitable, dans la mesure où il découle d’une infection parodontale (Dominique MANAÏ, op.cit., p. 183-186). Une fois établie la gravité de la maladie, il convient de vérifier si les prestations sont « efficaces, appropriées et économiques » (Dominique MANAÏ, op.cit., p. 189).</w:t>
      </w:r>
    </w:p>
    <w:p>
      <w:r>
        <w:t>A/2295/2018 - 11/17 -</w:t>
      </w:r>
    </w:p>
    <w:p>
      <w:r>
        <w:rPr>
          <w:b/>
        </w:rPr>
        <w:t>E. 6</w:t>
      </w:r>
    </w:p>
    <w:p>
      <w:r>
        <w:t>Une mesure est efficace lorsqu'elle est démontrée selon des méthodes scientifiques et permet objectivement d'obtenir le résultat diagnostique ou thérapeutique recherché (ATF 128 V 159 consid. 5c/aa p. 165 ; voir également arrêt du Tribunal fédéral des assurances K 151/99 du 7 juillet 2000 consid. 2b, in RAMA 2000 p. 279).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127 V 138 consid. 5 p. 146; GEBHARD EUGSTER, Krankenversicherung, in Soziale Sicherheit, SBVR vol. XIV, 2e éd. 2007, p. 494 n. 293 ss). La réponse à cette question se confond normalement avec celle de l'indication médicale ; lorsque l'indication médicale est clairement établie, il convient d'admettre que l'exigence du caractère approprié de la mesure est réalisée (ATF 125 V 95 consid. 4a p. 99 ; voir également arrêt K 151/99 précité consid. 2c).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124 V 196 consid. 4 p. 200 ; arrêt du Tribunal fédéral des assurances K 29/96 du 16 septembre 1997 consid. 3c, in RAMA 1998 p. 1).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126 V 334 consid. 2b p. 339). L'appréciation du caractère économique ne doit pas s'effectuer au moyen d'une stricte comparaison des coûts à charge de l'assurance obligatoire des soins. La jurisprudence a retenu que des prestations de soins fournies à domicile par exemple, devaient, malgré l'existence d'une disproportion, être considérées comme plus adéquates que des prestations de soins fournies dans un établissement médico-social, lorsqu'elles permettaient d'apporter à la personne assurée un épanouissement sur le plan personnel (travail [ATF 126 V 334 consid. 3a p. 341], formation [arrêt du Tribunal fédéral des assurances K 66/00 du 5 octobre 2000 consid. 3b, in RAMA 2001 p. 23], engagement social ou politique) ou d'assumer une fonction sociale importante qu'un placement dans une institution n'autoriserait pas (telle que mère de famille; arrêt du Tribunal fédéral des assurances K 52/99 du 22 septembre 2000 consid. 3a, in RAMA 2001 p. 10). Tel n'était en revanche pas</w:t>
      </w:r>
    </w:p>
    <w:p>
      <w:r>
        <w:t>A/2295/2018 - 12/17 - le cas lorsque les soins à domicile ne permettaient à la personne assurée que de bénéficier d'une meilleure qualité de vie (arrêt du Tribunal fédéral des assurances K 61/00 du 5 octobre 2000 consid. 3a, in RAMA 2001 p. 19 ; voir néanmoins l'arrêt 9C_940/2011 du 21 septembre 2012 consid. 3.4, où le Tribunal fédéral a estimé que la prise en charge, à efficacité égale, de soins à domicile 2,35 fois plus chers que les soins dispensés dans un établissement médico-social respectait "tout juste" le critère de l'économicité).</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qu’un médecin, éventuellement d’autres spécialistes, doivent lui fournir (ATF 125 V 256 consid. 4 et les références).</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w:t>
      </w:r>
    </w:p>
    <w:p>
      <w:r>
        <w:t>A/2295/2018 - 13/17 -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A/2295/2018 - 14/17 -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 RAMA 1985 p. 240 consid. 4 ; arrêt du Tribunal fédéral des assurances I 751/03 du 19 mars 2004 consid. 3.3).</w:t>
      </w:r>
    </w:p>
    <w:p>
      <w:r>
        <w:rPr>
          <w:b/>
        </w:rPr>
        <w:t>E. 11</w:t>
      </w:r>
    </w:p>
    <w:p>
      <w:r>
        <w:t>En l'espèce, l’intimée considère sur la base des appréciations de ses médecins- dentistes conseils, que le recourant a souffert d’un granulome externe, dont la prise en charge ne lui incombe pas. En substance, elle argue qu'une poche parodontale n'est pas spécifique d’une résorption radiculaire interne, qu'elle peut se rencontrer aussi en cas de résorption radiculaire externe, ce dont elle tire la conclusion que le diagnostic de résorption radiculaire interne ne peut être posé de façon « sûre et certaine » et n’est qu’« envisageable ». Le recourant conclut pour sa part à ce que soit reconnu son droit à la prise en charge des soins prodigués et prévus au niveau de sa dent 35, arguant que ceux-ci résultent d’un granulome dentaire interne idiopathique, dont le diagnostic a été clairement posé par le Prof. C______ et la Dresse B______, sur la base de l’examen histologique, mais également des constatations cliniques et radiologiques. Le fait qu’une résorption externe soit envisageable d’après la littérature médicale ne suffit pas à exclure la vraisemblance prépondérante du diagnostic de résorption interne.</w:t>
      </w:r>
    </w:p>
    <w:p>
      <w:r>
        <w:rPr>
          <w:b/>
        </w:rPr>
        <w:t>E. 12</w:t>
      </w:r>
    </w:p>
    <w:p>
      <w:r>
        <w:t>La Cour de céans a déjà constaté, dans son ordonnance du 4 novembre 2019, qu'il lui était difficile de trancher cette controverse entre spécialistes, raison pour laquelle elle a fait appel à un expert en la matière afin de déterminer quelle atteinte a exactement affecté la dent 35 du recourant, au degré de la vraisemblance prépondérante requis par la jurisprudence. Il lui a également été demandé de se prononcer sur la question de savoir si l'affection était évitable et si le traitement proposé par la Dresse B______ répondait aux principes d’économicité, d’adéquation et d’efficacité. Le rapport d'expertise du Dr E______ a été rendu après examen du dossier complété fourni par les HUG. L'expert y répond de manière claire, argumentée et circonstanciées aux questions qui lui ont été posées, de sorte que ses conclusions doivent se voir reconnaître pleine valeur probante.</w:t>
      </w:r>
    </w:p>
    <w:p>
      <w:r>
        <w:t>A/2295/2018 - 15/17 - Il relate en particulier que, localement, l’assuré se plaignait d’une symptomatologie sous forme de douleurs persistantes plus marquées à la mastication. Une mobilité importante de degré III a été diagnostiquée. La dent 35 présentait à un moment donné deux pathologies présentes simultanément : une poche parodontale de 6 mm et un granulome interne idiopathique. Selon l'expert, la pathologie parodontale était probablement, dans ce cas précis, une conséquence du foyer interne. Il explique qu'il est très peu probable que l’inverse se produise. De plus, une poche parodontale de 6 mm n’est généralement pas en mesure de provoquer une mobilité de degré III et aurait présenté une image radiologique bien différente (par exemple une perte d’osseuse verticale importante), ce que l’on ne trouve pas dans ce cas. Se basant sur le rapport histologique, l'expert estime que la dent 35 a très probablement bien souffert d’un granulome interne idiopathique. Il explique que l’analyse histologique doit être considérée comme l’examen diagnostique le plus fiable disponible pour ce type de pathologie. De plus, la description clinique des symptômes ne correspond que marginalement à la pathologie parodontale seule. Compte tenu du caractère idiopathique de l’infection, elle doit être considérée comme INÉVITABLE. C'est en vain que l'intimée continue à contester cette position en reprenant les arguments déjà avancés précédemment par son dentiste-conseil, à savoir qu'un processus inflammatoire touchant le parodonte peut impacter les racines dentaires et provoquer des résorptions internes et que, compte tenu de la maladie parodontale constatée, le diagnostic de résorption externe de la dent 35 est "envisageable". C'est précisément dans le but de trancher cette controverse entre spécialistes que la Cour a fait appel à un expert judiciaire, lequel a rendu des conclusions argumentées et convaincantes, dont il n'y a pas lieu de s'écarter. D'autant moins qu'ainsi que le fait remarquer le recourant, c'est à tort que l'intimée et son dentiste-conseil exigent la preuve certaine d’un granulome dentaire interne idiopathique, étant rappelé qu'en matière d’assurances sociales, la décision repose sur les faits apparaissant comme les plus vraisemblables de façon prépondérante. Or, en l'occurrence, de l'avis de l'expert judiciaire, c'est le diagnostic de granulome interne idiopathique qui apparaît comme le plus probable. À la question de savoir si le traitement proposé, soit l’avulsion de la dent 35 et la pose d’un implant en position 35 avec une couronne répondait aux principes de l’économicité de l’adéquation et de l’efficacité du traitement, l’expert a répondu par l’affirmative. Il a expliqué que la seule alternative thérapeutique répondant mieux au principe d'économicité à disposition dans cette situation spécifique aurait été la confection d’une prothèse amovible (qui aurait coûté probablement 30 à 40% de moins que l’implant/couronne). Il a cependant souligné qu'en considérant la situation bucco-dentaire avant et après l’avulsion de la dent 35, une prothèse amovible aurait été à la fois moins adéquate - parce qu'il n'y avait qu'une seule dent à remplacer et qu'une telle prothèse, impliquant plusieurs crochets indispensables, aurait mis en péril des dents piliers – et moins efficace. Ainsi que</w:t>
      </w:r>
    </w:p>
    <w:p>
      <w:r>
        <w:t>A/2295/2018 - 16/17 - le fait remarquer le recourant, le critère de l'économicité doit être considéré comme également rempli en ce cas puisqu'il faut prendre en considération les frais qu'aurait entraîné les éventuels dégâts causés aux dents piliers par la pose d'une prothèse amovible satellite. En l'occurrence, il ressort des explications de l'expert que, bien qu'un peu plus coûteuse, la solution proposée au recourant présentait un bénéfice manifeste par rapport à la seule autre alternative envisageable (une prothèse amovible). On notera que l'expert n'entre même pas en matière sur l'approche conservatrice suggérée par l'intimée. Eu égard aux considérations qui précèdent, il apparaît que les conditions permettant la prise en charge du traitement administré au recourant étaient donc remplies et que c'est de manière injustifiée que l'intimée l'a refusée. Le recours est admis.</w:t>
      </w:r>
    </w:p>
    <w:p>
      <w:r>
        <w:t>A/2295/2018 - 17/17 -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