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ATAS/1334/2014 vom 22. Dezember 2014</w:t>
      </w:r>
    </w:p>
    <w:p>
      <w:r>
        <w:t>GE Cour de justice, 2014-12-22, FR</w:t>
      </w:r>
    </w:p>
    <w:p>
      <w:r>
        <w:rPr>
          <w:b/>
        </w:rPr>
        <w:t xml:space="preserve">Quelle: </w:t>
      </w:r>
      <w:r>
        <w:t>https://mcp.opencaselaw.ch/entscheid/ge_gerichte_ATAS_1334_2014</w:t>
      </w:r>
    </w:p>
    <w:p>
      <w:r>
        <w:t>FR: GE_GERICHTE ATAS/1334/2014 du 22 décembre 2014</w:t>
      </w:r>
    </w:p>
    <w:p>
      <w:r>
        <w:t>IT: GE_GERICHTE ATAS/1334/2014 del 22 dicembre 2014</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règles applicables sont celles en vigueur au moment où les faits juridiquement déterminants se sont produits (ATF 130 V 445), étant précisé que le juge n'a pas à prendre en considération les modifications du droit ou de l'état de fait postérieures à la date déterminante de la décision litigieuse (ATF 129 V 1 consid. 1.2).</w:t>
      </w:r>
    </w:p>
    <w:p>
      <w:r>
        <w:rPr>
          <w:b/>
        </w:rPr>
        <w:t>E. 3</w:t>
      </w:r>
    </w:p>
    <w:p>
      <w:r>
        <w:t>Interjeté dans les forme et délai légaux (art. 56 à 60 LPGA), le recours est recevable.</w:t>
      </w:r>
    </w:p>
    <w:p>
      <w:r>
        <w:rPr>
          <w:b/>
        </w:rPr>
        <w:t>E. 4</w:t>
      </w:r>
    </w:p>
    <w:p>
      <w:r>
        <w:t>Le litige porte sur le droit de l'assurée aux prestations de l'assurance-invalidité.</w:t>
      </w:r>
    </w:p>
    <w:p>
      <w:r>
        <w:rPr>
          <w:b/>
        </w:rPr>
        <w:t>E. 5</w:t>
      </w:r>
    </w:p>
    <w:p>
      <w:r>
        <w:t>a) Se pose en premier lieu la question de savoir quel statut il convient d'accorder à l'assuré. L'intimé a considéré que la recourante devait être considérée comme active à 12,5% seulement, ce que la recourante conteste, alléguant qu’elle est désormais dans l’incapacité de travailler à plein temps, semblant sous-entendre par là que c’est ce qu’elle aurait fait si son état de santé le lui avait permis. b) Pour évaluer le degré d'invalidité, il existe principalement trois méthodes - la méthode générale de comparaison des revenus, la méthode spécifique et la méthode mixte -, dont l'application dépend du statut du bénéficiaire potentiel de la rente :</w:t>
      </w:r>
    </w:p>
    <w:p>
      <w:r>
        <w:t>A/3095/2013 - 7/12 - assuré exerçant une activité lucrative à temps complet, assuré sans activité lucrative ou assuré exerçant une activité lucrative à temps partiel. Tant lors de l'examen initial du droit à la rente qu'à l'occasion d'une révision de celle-ci, il faut examiner quelle méthode d'évaluation de l'invalidité il convient d'appliquer. c)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(ATF 128 V 29; voir également arrêt 9C_236/2009 du 7 octobre 2009 consid. 3 et 4, in SVR 2010 IV n° 11 p. 35).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 d) Pour déterminer la méthode applicable au cas particulier, il faut non pas, malgré la teneur de l'art. 8 al. 3 LPGA, chercher à savoir dans quelle mesure l'exercice d'une activité lucrative aurait été exigible de la part de l'assuré, mais se demander ce que l'assuré aurait fait dans les mêmes circonstances si l'atteinte à la santé n'était pas survenue (ATF 137 V 477 consid. 6.3 p. 486 et les références; ATF 133 V 504 consid. 3.3. p. 507; voir également arrêt 9C_27/2012 du 13 décembre 2012 consid. 3, in SVR 2013 IV n° 18 p. 48; pour le cas des rentiers et des assurés qui ont pris</w:t>
      </w:r>
    </w:p>
    <w:p>
      <w:r>
        <w:t>A/3095/2013 - 8/12 - une retraite anticipée, voir cependant arrêt 9C_9/2013 du 27 mars 2013 consid. 2.4 et la référence).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familiale, sociale et professionnelle, de la situation financière du ménage, de l'éducation des enfants, de l'âge de l'assuré, de ses qualifications professionnelles, de sa formation ainsi que de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w:t>
      </w:r>
    </w:p>
    <w:p>
      <w:r>
        <w:rPr>
          <w:b/>
        </w:rPr>
        <w:t>E. 6</w:t>
      </w:r>
    </w:p>
    <w:p>
      <w:r>
        <w:t>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(art. 7 al. 1 LPGA). Dans ce contexte, la rente de l'assurance-invalidité vise à la compensation d'un préjudice patrimonial qui présente une certaine importance (art. 28 al. 2 LAI); cela présuppose que la personne assurée subisse un dommage matériel objectif correspondant à une perte de gain ou à une incapacité à vaquer à ses occupations habituelles liée à l'invalidité de 40 % au moins.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 vieillesse et survivants (FF 1958 II 1161 ss), soit l'atténuation des conséquences économiques de l'invalidité. Par définition, il n'appartient pas à l'assurance- invalidité d'indemniser une perte - hypothétique - de revenu ou de capacité à vaquer à ses occupations habituelles relative à des activités que la personne assurée n'aurait jamais exercées en l'absence d'atteinte à la santé. En choisissant de ne pas travailler, la personne assurée a ainsi délibérément renoncé au salaire qu'elle aurait pu réaliser en travaillant; l'absence de revenu consécutive à ce choix ne résulte pas de facteurs médicaux et ne saurait être compensée, pour quelque raison que ce soit, par l'assurance-invalidité (cf. ATF 137 V 334 consid. 5.5.3 p. 345).</w:t>
      </w:r>
    </w:p>
    <w:p>
      <w:r>
        <w:rPr>
          <w:b/>
        </w:rPr>
        <w:t>E. 7</w:t>
      </w:r>
    </w:p>
    <w:p>
      <w:r>
        <w:t>En l'espèce, il est constant que la recourante n'a plus exercé d'activité lucrative à plus de 12,5% depuis 2007.</w:t>
      </w:r>
    </w:p>
    <w:p>
      <w:r>
        <w:t>A/3095/2013 - 9/12 - S’il ressort du rassemblement de ses comptes individuels AVS qu’auparavant, il lui était arrivé de travailler à un taux supérieur (elle a réalisé, en 2001, un revenu de CHF 33'450.- et, de juin à août 2002, de CHF 10'470.-), il n’en demeure pas moins que, chez son dernier employeur, depuis 2007, elle a réduit son temps de travail à quelques heures par semaine et ce, bien avant la dégradation de santé que tant les médecins traitants que la recourante font remonter à 2010. Au demeurant, la recourante n’a jamais fait valoir auparavant qu’elle aurait travaillé à plein temps : ni à l’enquêtrice ménagère, ni même dans son opposition du 5 août 2013. En conclusion, c’est dès lors à juste titre que l’intimé lui a reconnu le statut d’active à 12,5% seulement.</w:t>
      </w:r>
    </w:p>
    <w:p>
      <w:r>
        <w:rPr>
          <w:b/>
        </w:rPr>
        <w:t>E. 8</w:t>
      </w:r>
    </w:p>
    <w:p>
      <w:r>
        <w:t>a) Il convient à présent d’examiner si la recourante peut se voir reconnaitre un degré d’invalidité suffisant pour lui ouvrir droit aux prestations de l’assurance. b) Est réputée invalidité l'incapacité de gain totale ou partielle présumée permanente ou de longue durée, résultant d'une infirmité congénitale, d'une maladie ou d'un accident (art. 8 al. 1 LPGA et 4 al. 1 LAI).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Selon la jurisprudence du Tribunal fédéral (TF), l’objet de l’assurance n’est donc pas l’atteinte à la santé en soi mais plutôt les conséquences économiques qui en découlent, soit l’incapacité de réaliser un gain par un travail exigible (ou d’accomplir les travaux habituels pour les non-actifs). La notion d’invalidité est ainsi une notion juridique, basée sur des éléments essentiellement économiques, qui ne se confond pas forcément avec le taux de l’incapacité fonctionnelle, tel que le détermine le médecin ; ce sont les conséquences économiques de l’incapacité fonctionnelle qu’il importe d’évaluer (ATF 105 V 207ss.; 106 V 88; 110 V 275; RCC 1981 p. 124 consid. 1a). c) Selon l'art. 28 al. 1 LAI, l'assuré a droit à une rente entière s'il est invalide à 70%, à un trois-quarts de rente s’il est invalide à 60% au moins, à une demi-rente s'il est invalide à 50% au moins, ou à un quart de rente s'il est invalide à 40% au moins. Chez les assurés actifs, le degré d'invalidité doit être déterminé sur la base d'une</w:t>
      </w:r>
    </w:p>
    <w:p>
      <w:r>
        <w:t>A/3095/2013 - 10/12 -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d)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w:t>
      </w:r>
    </w:p>
    <w:p>
      <w:r>
        <w:rPr>
          <w:b/>
        </w:rPr>
        <w:t>E. 9</w:t>
      </w:r>
    </w:p>
    <w:p>
      <w:r>
        <w:t>a) Pour établir la capacité de travail de la recourante, l'intimé s’est fondé sur l’examen bidisciplinaire conduit par les médecins du SMR, qui ont conclu à une capacité de travail entière dans une activité adaptée. La recourante conteste cette évaluation, estimant être dans l’incapacité d’exercer la moindre activité. b) Il convient tout d'abord de se prononcer sur la valeur à accorder à l'examen du SMR. Les médecins du SMR se sont fondés sur un dossier complet, ont tenu compte des remarques et plaintes de l'assurée et relaté de façon précise les constatations cliniques objectives, les interactions entre les différentes pathologies, ainsi que les conséquences de celles-ci sur la capacité à effectuer certaines tâches (description des limitations fonctionnelles). Par ailleurs, leurs conclusions ont été corroborées, sur le plan psychique, par l’avis du psychiatre traitant. Sur le plan physique, les diagnostics et limitations fonctionnelles sont les mêmes que ceux mis en évidence par les médecins traitants, étant précisé que les nouvelles douleurs à la mâchoire et à l’oreille droite, apparues en septembre 2013, n’ont pas à être prises en compte dans la mesure où elles sont postérieures à la décision litigieuse.</w:t>
      </w:r>
    </w:p>
    <w:p>
      <w:r>
        <w:t>Seules divergent les appréciations quant à la capacité de travail de la recourante. Cette question peut toutefois rester ouverte en l’état dans la mesure où, ainsi que le fait remarquer l’intimé, même en admettant une totale incapacité de travail quelle que soit l’activité, on obtient un degré d’invalidité global de 21,5% (100% de 12,5</w:t>
      </w:r>
    </w:p>
    <w:p>
      <w:r>
        <w:t>A/3095/2013 - 11/12 - +10% de 87,5%), insuffisant pour ouvrir droit à la demi-rente réclamée par la recourante. Au vu de ce qui précède, force est de constater que le recours, mal fondé, doit être rejeté.</w:t>
      </w:r>
    </w:p>
    <w:p>
      <w:r>
        <w:t>A/3095/2013 - 12/12 -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