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ATAS/1333/2014 vom 22. Dezember 2014</w:t>
      </w:r>
    </w:p>
    <w:p>
      <w:r>
        <w:t>GE Cour de justice, 2014-12-22, FR</w:t>
      </w:r>
    </w:p>
    <w:p>
      <w:r>
        <w:rPr>
          <w:b/>
        </w:rPr>
        <w:t xml:space="preserve">Quelle: </w:t>
      </w:r>
      <w:r>
        <w:t>https://mcp.opencaselaw.ch/entscheid/ge_gerichte_ATAS_1333_2014</w:t>
      </w:r>
    </w:p>
    <w:p>
      <w:r>
        <w:t>FR: GE_GERICHTE ATAS/1333/2014 du 22 décembre 2014</w:t>
      </w:r>
    </w:p>
    <w:p>
      <w:r>
        <w:t>IT: GE_GERICHTE ATAS/1333/2014 del 22 dicembre 2014</w:t>
      </w:r>
    </w:p>
    <w:p>
      <w:pPr>
        <w:pStyle w:val="Heading2"/>
      </w:pPr>
      <w:r>
        <w:t>Erwägungen</w:t>
      </w:r>
    </w:p>
    <w:p>
      <w:r>
        <w:rPr>
          <w:b/>
        </w:rPr>
        <w:t>E. 1</w:t>
      </w:r>
    </w:p>
    <w:p>
      <w:r>
        <w:t>La compétence de la Cour de céans et la recevabilité du recours ayant d’ores et déjà été examinées dans l’ordonnance du 23 octobre 2013, il n’y a pas lieu d’y revenir ici.</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Par ailleurs, la loi fédérale du 16 décembre 2005 modifiant la LAI est entrée en vigueur le 1er juillet 2006 (RO 2006 2003), apportant des modifications qui concernent notamment la procédure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Est litigieuse en l’espèce la question de savoir si les atteintes à la santé de la recourante entraînent une perte de gain susceptible de lui ouvrir droit à des prestations de l’assurance-invalidité.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5</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w:t>
      </w:r>
    </w:p>
    <w:p>
      <w:r>
        <w:t>A/2997/2012 - 14/17 -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6</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7</w:t>
      </w:r>
    </w:p>
    <w:p>
      <w:r>
        <w:t>Selon le principe de libre appréciation des preuves, pleinement valable en procédure judiciaire de recours dans le domaine des assurances sociales (cf. art. 61</w:t>
      </w:r>
    </w:p>
    <w:p>
      <w:r>
        <w:t>A/2997/2012 - 15/17 -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8</w:t>
      </w:r>
    </w:p>
    <w:p>
      <w:r>
        <w:t>En l’espèce, c’est en vain que l’intimé soutient que l’on devrait se rallier aux conclusions de l’expertise du Dr K______. Dans son ordonnance du 23 octobre 2013, la Cour a développé en détail les raisons qui la conduisaient à nier toute valeur probante à cette expertise (cf. supra, partie en fait). Il n’y a pas lieu d’y revenir. L’expertise judiciaire, en revanche, remplit tous les critères permettant de lui reconnaître pleine valeur probante.</w:t>
      </w:r>
    </w:p>
    <w:p>
      <w:r>
        <w:t>A/2997/2012 - 16/17 - Tout d'abord, les rapports d'examen des experts se fondent sur une anamnèse détaillée, un examen clinique et tiennent compte des plaintes rapportées par l’assurée. Ils ont été établis en pleine connaissance du dossier – contrairement à celui du Dr K______ – et leurs conclusions, dûment motivées, ne laissent pas apparaître de contradictions. Qui plus est, leurs conclusions sont corroborées par les constatations du Dr G______, qui a attesté que l’état de sa patiente, contrairement à ce qu’affirmait le Dr K______, ne s’était pas amélioré. Les conclusions des experts apparaissent convaincantes. En particulier, le Dr N______ a expliqué que si les conditions permettant de reconnaître un caractère invalidant à la fibromyalgie n’étaient pas remplies, il existait par ailleurs d’autres troubles psychiques invalidants en eux-mêmes en raison non seulement de leur gravité – moyenne – mais également de leur cumul, de leur caractère ancré et durable, qui entraînent des limitations fonctionnelles qui ont été clairement énoncées et de l’ensemble desquelles l’expert a tiré la conclusion que la capacité de travail de l’assurée était réduite de 40% depuis octobre 2006, date du début de la prise en charge du Dr G______, suite à une décompensation anxieuse aiguë, sous forme de trouble panique. Il y a lieu de se ranger à l’avis des experts judiciaires et de reconnaître en conséquence à la recourante un degré d’invalidité – correspondant en l’occurrence au degré d’incapacité puisqu’indépendant de la profession envisagée – de 40%, ouvrant droit à un quart de rente d’invalidité, à compter du 13 juillet 2010 (art. 29 al. 1 LAI). Eu égard aux considérations qui précèdent, le recours est admis.</w:t>
      </w:r>
    </w:p>
    <w:p>
      <w:r>
        <w:t>A/2997/2012 - 17/17 -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