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ATAS/1331/2014 vom 19. Dezember 2014</w:t>
      </w:r>
    </w:p>
    <w:p>
      <w:r>
        <w:t>GE Cour de justice, 2014-12-19, FR</w:t>
      </w:r>
    </w:p>
    <w:p>
      <w:r>
        <w:rPr>
          <w:b/>
        </w:rPr>
        <w:t xml:space="preserve">Quelle: </w:t>
      </w:r>
      <w:r>
        <w:t>https://mcp.opencaselaw.ch/entscheid/ge_gerichte_ATAS_1331_2014</w:t>
      </w:r>
    </w:p>
    <w:p>
      <w:r>
        <w:t>FR: GE_GERICHTE ATAS/1331/2014 du 19 décembre 2014</w:t>
      </w:r>
    </w:p>
    <w:p>
      <w:r>
        <w:t>IT: GE_GERICHTE ATAS/1331/2014 del 19 dicembre 2014</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entrée en vigueur le 1er janvier 2003, s’applique aux prestations complémentaires fédérales à moins que la LPC n’y déroge expressément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4 20]) auprès du tribunal des assurances du canton de domicile de l’assuré (art. 58 al. 1 LPGA). b) S’agissant des prestations complémentaire cantonales, l’art. 43 LPCC ouvre les mêmes voies de droit. c) Interjeté dans les forme et délai légaux, le recours est recevable.</w:t>
      </w:r>
    </w:p>
    <w:p>
      <w:r>
        <w:rPr>
          <w:b/>
        </w:rPr>
        <w:t>E. 4</w:t>
      </w:r>
    </w:p>
    <w:p>
      <w:r>
        <w:t>Le litige porte sur le calcul des prestations complémentaires dès le 1er février 2013.</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w:t>
      </w:r>
    </w:p>
    <w:p>
      <w:r>
        <w:rPr>
          <w:b/>
        </w:rPr>
        <w:t>E. 6</w:t>
      </w:r>
    </w:p>
    <w:p>
      <w:r>
        <w:t>Les prestations complémentaires fédérales se composent de la prestation complémentaire annuelle et du remboursement des frais de maladie et d’invalidité</w:t>
      </w:r>
    </w:p>
    <w:p>
      <w:r>
        <w:t>A/3690/2013 - 5/7 -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rPr>
          <w:b/>
        </w:rPr>
        <w:t>E. 7</w:t>
      </w:r>
    </w:p>
    <w:p>
      <w:r>
        <w:t>Au niveau fédéral, les revenus déterminants comprennent, notamment, le produit de la fortune mobilière et immobilière (art. 11 al. 1 let. b LPC), un dixième de la fortune nette dans la mesure où elle dépasse CHF 60'000.- pour les couples bénéficiaires d'une rente de vieillesse (art. 11 al. 1 let. c LPC), les rentes, pensions et autres prestations périodiques, y compris les rentes de l’AVS et de l’AI (art. 11 al. 1 let. d LPC), et les ressources et parts de fortune dont un ayant droit s’est dessaisi (art. 11 al. 1 let. g LPC). Sur le plan cantonal, la LPCC renvoie à la réglementation fédérale pour le calcul du revenu déterminant et des dépenses, sous réserve de certaines adaptations, sans incidence en l'espèce.</w:t>
      </w:r>
    </w:p>
    <w:p>
      <w:r>
        <w:rPr>
          <w:b/>
        </w:rPr>
        <w:t>E. 8</w:t>
      </w:r>
    </w:p>
    <w:p>
      <w:r>
        <w:t>En l’espèce, le grief du recourant quant à la prise en compte d’un montant à titre de bien dessaisi est dénué de pertinence dans la mesure où l’intimé, dans ses nouveaux calculs annexés à la décision sur opposition litigieuse, y a renoncé.</w:t>
      </w:r>
    </w:p>
    <w:p>
      <w:r>
        <w:rPr>
          <w:b/>
        </w:rPr>
        <w:t>E. 9</w:t>
      </w:r>
    </w:p>
    <w:p>
      <w:r>
        <w:t>S’agissant du 3ème pilier constitué par le recourant, il y a lieu de se référer à l’art. 15c al. 1 de l’ordonnance sur les prestations complémentaires à l’assurance- vieillesse, survivants et invalidité du 15 janvier 1971 (OPC-AVS/AI - RS 831.301), qui précise que la valeur de rachat des rentes viagères avec restitution est prise en compte comme élément de fortune et, en son alinéa 3 lettre a, qu’est également prise en compte dans les revenus déterminants la rente périodique versée, à concurrence de 80%. C’est dès lors à juste titre que l’assurance de type 3b visant au versement d’une rente viagère avec restitution a été prise en compte en l’occurrence, tant au niveau de la fortune qu’à celui des revenus. A cet égard, c’est également à bon droit que l’intimé a pris en considération 80% du montant annuel de cette rente.</w:t>
      </w:r>
    </w:p>
    <w:p>
      <w:r>
        <w:rPr>
          <w:b/>
        </w:rPr>
        <w:t>E. 10</w:t>
      </w:r>
    </w:p>
    <w:p>
      <w:r>
        <w:t>Le recourant conteste également le montant des rentes de vieillesse annuelles, alléguant qu’il se serait élevé à CHF 25'620.- et non à CHF 25'848.-, se référant à l’attestation délivrée par le centre de calcul du revenu déterminant le droit aux prestations sociales (RDU) le 28 octobre 2013. Il oublie ce faisant que cette attestation est basée sur l’année de référence 2012 et que sa rente de vieillesse a augmenté en 2013. Ce grief doit donc également être écarté.</w:t>
      </w:r>
    </w:p>
    <w:p>
      <w:r>
        <w:rPr>
          <w:b/>
        </w:rPr>
        <w:t>E. 11</w:t>
      </w:r>
    </w:p>
    <w:p>
      <w:r>
        <w:t>S’agissant du montant retenu à titre de loyer, l’intimé s’est déclaré d’accord de le réduire à CHF 23'023.56, montant admis à titre de valeur locative par l’Administration fiscale, de sorte que ce point n’est plus litigieux.</w:t>
      </w:r>
    </w:p>
    <w:p>
      <w:r>
        <w:t>A/3690/2013 - 6/7 -</w:t>
      </w:r>
    </w:p>
    <w:p>
      <w:r>
        <w:rPr>
          <w:b/>
        </w:rPr>
        <w:t>E. 12</w:t>
      </w:r>
    </w:p>
    <w:p>
      <w:r>
        <w:t>Enfin, s’agissant des intérêts de l’épargne, ils correspondent aux intérêts versés sur les comptes bancaires des recourants et doivent être maintenus. Quoi qu’il en soit, la différence relevée par le recourant est minime (CHF 11.- en lieu et place de CHF 38.75).</w:t>
      </w:r>
    </w:p>
    <w:p>
      <w:r>
        <w:rPr>
          <w:b/>
        </w:rPr>
        <w:t>E. 13</w:t>
      </w:r>
    </w:p>
    <w:p>
      <w:r>
        <w:t>Il ressort des considérations qui précèdent que les calculs ayant présidé à la décision litigieuse sont corrects et que c’est à juste titre que l’intimé a nié au recourant le droit aux prestations complémentaires, tant fédérales que cantonales. Le recours est donc rejeté.</w:t>
      </w:r>
    </w:p>
    <w:p>
      <w:r>
        <w:t>A/3690/2013 - 7/7 -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