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ATAS/1331/2010 vom 23. Dezember 2010</w:t>
      </w:r>
    </w:p>
    <w:p>
      <w:r>
        <w:t>GE Cour de justice, 2010-12-23, FR</w:t>
      </w:r>
    </w:p>
    <w:p>
      <w:r>
        <w:rPr>
          <w:b/>
        </w:rPr>
        <w:t xml:space="preserve">Quelle: </w:t>
      </w:r>
      <w:r>
        <w:t>https://mcp.opencaselaw.ch/entscheid/ge_gerichte_ATAS_1331_2010</w:t>
      </w:r>
    </w:p>
    <w:p>
      <w:r>
        <w:t>FR: GE_GERICHTE ATAS/1331/2010 du 23 décembre 2010</w:t>
      </w:r>
    </w:p>
    <w:p>
      <w:r>
        <w:t>IT: GE_GERICHTE ATAS/1331/2010 del 23 dicembre 2010</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Interjeté en temps utile, le recours est recevable (art. 60 LPGA).</w:t>
      </w:r>
    </w:p>
    <w:p>
      <w:r>
        <w:rPr>
          <w:b/>
        </w:rPr>
        <w:t>E. 3</w:t>
      </w:r>
    </w:p>
    <w:p>
      <w:r>
        <w:t>Le recourant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w:t>
      </w:r>
    </w:p>
    <w:p>
      <w:r>
        <w:t>A/3807/2010 - 11/13 -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l'OAI a supprimé la rente de l'assuré en raison de l'amélioration de son état de santé et de sa capacité de gain, en se fondant sur le rapport d’examen clinique rhumatologique et psychiatrique du 10 octobre 2008 du SMR. Le Tribunal de céans constate, d'une part, que le succès de la greffe rénale n'est pas contesté et que, suite à la dernière greffe de mai 1999, la fonction rénale est rétablie. Tel était donc déjà le cas lors de l'octroi de la rente d'invalidité selon décision du 11 février 2000. D'autre part, les douleurs inguinales gauches dont souffre l'assuré, apparues immédiatement après la dernière greffe de 1999, sont confirmées par le Dr L____________ en 2004 ainsi que par le Dr M____________ en 2005 et en 2007. Ces spécialistes estiment qu'elle sont les conséquences opératoires de la dernière greffe. Certes, les avis joints au rapport du Dr M____________ du 14 novembre 2005 excluent aussi tout diagnostic osteo- articulaire et confirment le succès du greffon, mais ils admettent que les douleurs</w:t>
      </w:r>
    </w:p>
    <w:p>
      <w:r>
        <w:t>A/3807/2010 - 12/13 - inguinales gauches sont liées à la dernière greffe et nécessitent la prise importante d'antalgiques. Or, l'examen médical du SMR a été pratiqué sous l'angle rhumatologique et psychiatrique seulement. Il exclut tout diagnostic rhumatologique expliquant les douleurs osteo articulaires, sans examiner du point de vue urologique ou néphrologique les douleurs à l'aine, irradiant dans les testicules et la verge, dont se plaint le patient. Le rapport du SMR ne tient pas compte des avis convergents des divers spécialistes et n'ordonne aucun examen spécialisé. A cela s'ajoute le fait que l'avis du SMR du 12 février 2010, suivi par l'OAI, ne tient pas compte non plus de l'avis du médecin conseil des EPI du 28 novembre 2009, lequel estime qu'une capacité de travail de 50% est justifiée par la fatigabilité et un manque de résistance tout à fait compatibles avec les suites difficiles des greffes. Au vu de ce qui précède, il apparaît que l'OAI, au moment de rendre la décision de suppression de rente, n'a pas tenu compte de tous les éléments médicaux pertinents, notamment des douleurs inguinales, de la fatigabilité liées aux greffes rénales, et de leurs conséquences sur la réelle capacité de travail de l'assuré, limitée selon tous les autres médecins en tout cas à 50% dans une activité adaptée, de sorte que sa décision apparaît prématurée; un complément d'instruction par l'intimé sera ainsi vraisemblablement nécessaire, lequel entraînera l'annulation de la décision litigieuse. En conséquence, il se justifie, en l'état, de restituer l'effet suspensif au recours. Par ailleurs, la motivation de la décision, fondée sur une amélioration de l'état de santé de l'assuré, pose problème, car de l'aveu même du SMR, l'état lacunaire du dossier ne permet pas d'établir avec certitude sur quelles base la rente a été octroyée en 2000. Cela étant, dans l'hypothèse où la suppression ne se justifiait pas sous l'angle de la révision, elle devra être examinée sous celui de la reconsidération. Si la décision n'est pas annulée avec renvoi de la cause, ce qui impliquerait la reprise du versement de la rente entière, l'instruction sera alors complétée par le Tribunal. En l'état, il apparaît qu'il est à craindre que le recourant n'obtienne pas le maintien d'une rente entière, mais seulement une demi rente, de sorte qu'en cas de restitution de l'effet suspensif pour l'entier de la rente, la procédure en restitution des prestations reçues à tort risque de se révéler infructueuse, compte tenu de la situation financière de l'assuré.</w:t>
      </w:r>
    </w:p>
    <w:p>
      <w:r>
        <w:rPr>
          <w:b/>
        </w:rPr>
        <w:t>E. 6</w:t>
      </w:r>
    </w:p>
    <w:p>
      <w:r>
        <w:t>Au vu de ce qui précède, la requête en restitution de l'effet suspensif au recours sera partiellement admise, une demi rente devant être versée dès la suppression de la rente entière.</w:t>
      </w:r>
    </w:p>
    <w:p>
      <w:r>
        <w:t>A/3807/2010 - 13/13 -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