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ATAS/1331/2009 vom 2. November 2009</w:t>
      </w:r>
    </w:p>
    <w:p>
      <w:r>
        <w:t>GE Cour de justice, 2009-11-02, FR</w:t>
      </w:r>
    </w:p>
    <w:p>
      <w:r>
        <w:rPr>
          <w:b/>
        </w:rPr>
        <w:t xml:space="preserve">Quelle: </w:t>
      </w:r>
      <w:r>
        <w:t>https://mcp.opencaselaw.ch/entscheid/ge_gerichte_ATAS_1331_2009</w:t>
      </w:r>
    </w:p>
    <w:p>
      <w:r>
        <w:t>FR: GE_GERICHTE ATAS/1331/2009 du 2 novembre 2009</w:t>
      </w:r>
    </w:p>
    <w:p>
      <w:r>
        <w:t>IT: GE_GERICHTE ATAS/1331/2009 del 2 novembre 2009</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Par ailleurs, conformément à l'art. 56V al. 1 let. a ch. 4 et let. c LOJ, le Tribunal de céans connaît en instance unique tant des contestations prévues à l’art. 56 de la LPGA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La LPGA, entrée en vigueur le 1er janvier 2003, est applicable au cas d'espèce.</w:t>
      </w:r>
    </w:p>
    <w:p>
      <w:r>
        <w:rPr>
          <w:b/>
        </w:rPr>
        <w:t>E. 3</w:t>
      </w:r>
    </w:p>
    <w:p>
      <w:r>
        <w:t>Interjeté dans les formes et délai légaux, le recours est recevable à la forme (art. 60 LPGA). S'agissant des contestations en matière d'assurance complémentaire à la LAA, l'assuré doit saisir directement l'autorité judiciaire, par voie d'une action qui doit être intentée dans les deux ans à dater du fait d'où naît l'obligation qui dérive du contrat d'assurance (art. 46 al. 1, 1ère phrase LCA), ce délai pouvant être interrompu selon les règles générales du droit privé. Le juge établit d'office les faits et apprécie librement les épreuves (art. 85 al. 2 in fine de la loi fédérale sur la surveillance des institutions d'assurance privées du 17 décembre 2004). En l'espèce, interjetée devant le Tribunal le 11 juin 2008 pour des prestations litigieuses dès le 1er février 2008, la demande n'est pas prescrite.</w:t>
      </w:r>
    </w:p>
    <w:p>
      <w:r>
        <w:rPr>
          <w:b/>
        </w:rPr>
        <w:t>E. 4</w:t>
      </w:r>
    </w:p>
    <w:p>
      <w:r>
        <w:t>a) Est litigieuse la question de savoir si les troubles présentés par le recourant ensuite de son accident de juin 2007 donnent droit à des prestations de l'assurance- accidents au-delà du 31 janvier 2008, respectivement à des prestations de l'assurance complémentaire. b) L'art. 6 al. 1 LAA prévoit que, sauf disposition contraire, les prestations d'assurance, y compris les frais de cures prescrites par un médecin (art. 10 al. 1 let.</w:t>
      </w:r>
    </w:p>
    <w:p>
      <w:r>
        <w:t>A/2092/2008 - 8/15 -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w:t>
      </w:r>
    </w:p>
    <w:p>
      <w:r>
        <w:t>A/2092/2008 - 9/15 - consid. 3 [ATFA non publié du 7 février 2000, U 149/99]; ATFA non publié du 18 août 2000, U 4/00). c)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t>A/2092/2008 - 10/15 - Le juge ne s'écarte en principe pas sans motifs impératifs des conclusions d'une expertise médicale, a fortiori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5</w:t>
      </w:r>
    </w:p>
    <w:p>
      <w:r>
        <w:t>En l'occurrence se trouvent au dossier des rapports du médecin traitant, le Dr L__________, une expertise du Dr M__________ de février 2008 ainsi qu'une expertise de du Dr N__________ d'avril 2009. Le Tribunal de céans a nié toute valeur probante au rapport d'expertise du Dr M__________ au motif que celui-ci contenait de nombreuses contradictions et inexactitudes, notamment dans l'anamnèse, qui faisaient douter du bien-fondé des conclusions mêmes. Partant, il a ordonné une expertise judiciaire. Dès lors, pour les motifs invoqués et qui sont expliqués dans l'ordonnance d'expertise du 19 février 2009, il ne sera pas tenu compte du rapport d'expertise du Dr M__________, quand bien même, ce médecin a pu pour ce faire bénéficier des radiographies qui avaient été faites le jour de l'accident, soit le 12 juin 2007, et qui ont été perdues par la suite.</w:t>
      </w:r>
    </w:p>
    <w:p>
      <w:r>
        <w:t>A/2092/2008 - 11/15 - Il convient dès lors de déterminer la valeur probante de l'expertise du Dr N__________. Ce médecin a reçu l'assuré lors de deux entretiens. Il a examiné les pièces médicales au dossier. Il a recueilli les données subjectives, personnelles, familiales et objectives de l'assuré (anamnèses), a procédé à une synthèse et une discussion et répondu clairement aux questions qui lui étaient posées. Ses conclusions sont motivées et il a notamment expliqué les raisons pour lesquelles il retenait un lien de causalité entre l'accident et ses séquelles, et ceci jusqu'à quelle date, et pourquoi il retenait telle date pour le statu quo ante. Ses conclusions sont dénuées de contradictions et sont convaincantes. L'intimée objecte aux conclusions de l'expert judicaire que ce dernier ne détenait pas les radiographies effectuées le jour de l'accident. Or, ces radiographies ont disparu et aucun expert ne pourra dès lors effectuer une expertise sur la base des dites radiographies. Seul le Dr M__________ a pu s'exprimer sur ces clichés, mais son expertise a été écartée en raison notamment du fait qu'il était possible que ce dernier ait fait une confusion de dossiers, tant certaines données de l'anamnèse étaient éloignées de celles de l'assuré. Dès lors, toute expertise doit désormais être faite sur la base des documents médicaux se trouvant au dossier, à l'exclusion des radiographies effectuées le jour de l'accident. On ne peut dès lors reprocher au Dr N__________ d'avoir pu conclure sans ces clichés.</w:t>
      </w:r>
    </w:p>
    <w:p>
      <w:r>
        <w:rPr>
          <w:b/>
        </w:rPr>
        <w:t>E. 6</w:t>
      </w:r>
    </w:p>
    <w:p>
      <w:r>
        <w:t>L'expert explique que le scanner qu'il a demandé montre très clairement un important enfoncement de plateau supérieur de D12. Le radiologue pense qu'il s'agit d'une séquelle d'une maladie de Scheuermann sans en être certain à 100 %. Le Dr N__________ explique que dans le cas présent, le diagnostic différentiel comprend des séquelles d'une ancienne maladie de Scheuermann, une fracture tassement de D12 suite à la chute ou une combinaison des deux. L'expert explique : "Pour pouvoir trancher, il est nécessaire de s'appuyer sur la clinique. Les déclarations de Monsieur sont crédibles et n'ont pas varié. Fortes douleurs immédiates dans la région dorsolombaire, soulagées par le port d'un lombostat et d'antalgiques majeurs type Tramadol. Évolution lente mais positive. Lors de l'expertise faite par le Dr M__________, ce dernier décrit un syndrome vertébral (le patient ne peut pas se pencher en avant) et que la palpation des masses musculaires paravertébrales, dorsales et lombaires est indolore excepté en D12 où il existe un spasme musculaire paravertébral douloureux à droite. Rappelons que cette expertise a eu lieu six mois après l'accident. Actuellement la situation clinique est bonne. À l'examen il persiste une légère douleur au niveau de D12 et une petite contracture musculaire. Il est donc indubitable qu'une lésion traumatique a existé au niveau de cette vertèbre et qu'elle est la conséquence de l'accident du 12 juin 2007. Une lésion osseuse met entre quatre à six mois pour se réparer. Les examens radiologiques ont été faits probablement trop tard, ce qui explique la difficulté que nous avons pour poser un diagnostic de certitude. Les douleurs ont pu persister plus longtemps que la réparation osseuse car nous savons que ce genre d'atteintes provoque des modifications de la statique entraînant des contractures et des rétractions</w:t>
      </w:r>
    </w:p>
    <w:p>
      <w:r>
        <w:t>A/2092/2008 - 12/15 - musculaires. Rappelons aussi que Monsieur a porté un lombostat, ce qui a pu entraîner une perte musculaire. Le corps a donc besoin de quelques mois supplémentaires pour pouvoir se guérir. Il faut également signaler que Monsieur n'a pas eu une bonne prise en charge médicale. La partie rééducation a été très nettement négligée. Je conclus donc à une fracture tassement de D12 fragilisée par une maladie de Scheuermann". Selon l'expert, le lien de causalité, probable, existe avec un degré de vraisemblance prépondérante. Le statu quo ante a été atteint le 28 juillet 2008. Depuis cette date, le cas est terminé du point de vue de l'accident. L'assuré a présenté une incapacité totale de travail du 12 juin 2007 au 17 mars 2008 et de 50 % du 18 mars au 27 juillet 2008. Ces conclusions sont convaincantes et seront suivies par le Tribunal de céans. Partant, il convient de retenir que le lien de causalité naturelle est donné jusqu'au 27 juillet 2008, y compris et que des indemnités journalières sont dues à 100 % du 12 juin 2007 au 17 mars 2008 et à 50 % du 18 mars au 27 juillet 2008, tant pour l'assurance-accidents obligatoire selon la LAA que pour l'assurance-accidents complémentaire selon le contrat d'assurance LCA.</w:t>
      </w:r>
    </w:p>
    <w:p>
      <w:r>
        <w:rPr>
          <w:b/>
        </w:rPr>
        <w:t>E. 7</w:t>
      </w:r>
    </w:p>
    <w:p>
      <w:r>
        <w:t>S'agissant des intérêt moratoires sollicités en matière de LAA, conformément à l’art. 26 al. 1er LPGA, les créances de cotisations échues sont soumises à la perception d’intérêts moratoires et les créances échues en restitution de cotisations indûment versées sont soumises au versement d’intérêts rémunératoires.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Au vu de ce qui précède, c'est à l'évidence qu'aucun intérêt moratoire n'est dû concernant les prestations de l'assurance-accidents obligatoire. S'agissant des prestations en matière d'assurance complémentaire, la LCA qui régit le contrat en cause règle le moment de l'échéance de la créance résultant du contrat d'assurance: celle-ci est échue 4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 ss du code des obligations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w:t>
      </w:r>
    </w:p>
    <w:p>
      <w:r>
        <w:t>A/2092/2008 - 13/15 - débiteur (ATF 98 II 23 consid. 7 p. 33; Luc THEVENOZ, in Commentaire romand du Code des obligations I, n. 9 ad art. 104 CO). En l'occurrence, le recourant/demandeur n'a pas interpellé l'assurance. Les intérêts moratoires sur les prestations complémentaires LCA sont donc dus dès le lendemain du jour où la demande en justice a été notifiée à la défenderesse, soit dès le 18 juin 2008 (recours/demande déposés devant la Juridiction en date du 11 juin 2008; recours/demande envoyés à l'assurance par courrier B daté du mercredi 12 juin 2008).</w:t>
      </w:r>
    </w:p>
    <w:p>
      <w:r>
        <w:rPr>
          <w:b/>
        </w:rPr>
        <w:t>E. 8</w:t>
      </w:r>
    </w:p>
    <w:p>
      <w:r>
        <w:t>Au vu de ce qui précède, le recours et la demande, bien fondés, seront admis. Le recourant qui obtient gain de cause aura droit à des dépens fixés à 1'500 fr.</w:t>
      </w:r>
    </w:p>
    <w:p>
      <w:r>
        <w:t>A/2092/2008 - 14/15 -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