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ATAS/132/2023 vom 24. Februar 2023</w:t>
      </w:r>
    </w:p>
    <w:p>
      <w:r>
        <w:t>GE Cour de justice, 2023-02-24, FR</w:t>
      </w:r>
    </w:p>
    <w:p>
      <w:r>
        <w:rPr>
          <w:b/>
        </w:rPr>
        <w:t xml:space="preserve">Quelle: </w:t>
      </w:r>
      <w:r>
        <w:t>https://mcp.opencaselaw.ch/entscheid/ge_gerichte_ATAS_132_2023</w:t>
      </w:r>
    </w:p>
    <w:p>
      <w:r>
        <w:t>FR: GE_GERICHTE ATAS/132/2023 du 24 février 2023</w:t>
      </w:r>
    </w:p>
    <w:p>
      <w:r>
        <w:t>IT: GE_GERICHTE ATAS/132/2023 del 24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et 60 LPGA ; art. 62 al. 1 let. a de la loi sur la procédure administrative du 12 septembre 1985 [LPA – E 5 10]).</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droit de la recourante à une rente d'invalidité de l'assurance-accidents. Est plus particulièrement litigieuse, d’une part, la question de savoir si, dans le cadre de la procédure initiée devant la CNA, les troubles psychiques affectant la recourante devaient être pris en compte pour évaluer sa capacité de travail. La recourante conteste, d’autre part, la pleine capacité de travail qui lui a été reconnue par la CNA sous l’angle somatique. Le litige porte enfin sur le taux de l'indemnité pour atteinte à l'intégrité qui lui a été accordée (20 %). En revanche, le litige ne porte pas sur les dates auxquelles l’intimée a mis un terme aux indemnités journalières et à la prise en charge du traitement médical, la recourante ne contestant pas ces aspects dans son recours.</w:t>
      </w:r>
    </w:p>
    <w:p>
      <w:r>
        <w:rPr>
          <w:b/>
        </w:rPr>
        <w:t>E. 4</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A/3577/2021 - 10/24 -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A/3577/2021 - 11/24 -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premier lieu, sous l’angle psychiatrique, l’intimée nie dans sa décision tout lien de causalité adéquate entre les troubles psychiques affectant la recourante (soit, selon le Dr K______, des troubles dépressifs récurrents, une boulimie et une probable modification durable de la personnalité après expérience de catastrophe) et les accidents invoqués par l’intéressée (soit ceux de février 2016, décembre 2016, mai 2018 et décembre 2019). L’intimée retient notamment que la recourante n’a subi que des accidents de peu de gravité, pour lesquels la responsabilité de l’assurance-accidents doit être écartée d’emblée. Dans sa réponse au recours, l’intimée ajoute que, même à supposer qu’ils puissent être qualifiés d’accidents de gravité moyenne, un lien de causalité adéquate entre ceux-ci et les troubles psychiques devrait quoi qu’il en soit être nié, les critères jurisprudentiels topiques (cf. infra consid. 8.3) n’étant pas remplis. Par ailleurs, elle relève qu’en présence d’une pluralité d’accidents, la question du lien de causalité adéquate doit être examinée au regard de chaque accident séparément. De son côté, la recourante fait valoir, en substance, qu’un lien de causalité entre les divers accidents qu’elle a subis – dont celui du 14 février 2016 – doit être admis, en s’appuyant sur les rapports des psychiatres qu’elle a consultés (soit les Drs J______, M______ et P______). Par ailleurs, elle est d’avis qu’une « succession de chutes et / ou [d’] atteintes aux mains est de nature à constituer une atteinte à la santé à tout le moins de gravité moyenne » et que « l’ensemble</w:t>
      </w:r>
    </w:p>
    <w:p>
      <w:r>
        <w:t>A/3577/2021 - 12/24 - des accidents [lui] ont causé des graves atteintes aux mains […] qui doivent être considérées comme une seule et même partie du corps ».</w:t>
      </w:r>
    </w:p>
    <w:p>
      <w:r>
        <w:rPr>
          <w:b/>
        </w:rPr>
        <w:t>E. 8</w:t>
      </w:r>
    </w:p>
    <w:p>
      <w:r>
        <w:t>Afin de déterminer si les troubles psychiatriques diagnostiqués chez la recourante doivent être pris en compte dans l’examen de ses prétentions envers l’intimée, il convient d’examiner, à l’aune des critères prescrits par la jurisprudence, s’il existe un lien de causalité adéquat entre ces troubles et les divers accidents invoqués.</w:t>
      </w:r>
    </w:p>
    <w:p>
      <w:r>
        <w:rPr>
          <w:b/>
        </w:rPr>
        <w:t>E. 8.1</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ainsi à toutes les conséquences des atteintes à la santé qui se trouvent dans un rapport de causalité naturelle et adéquat avec un évènement accidentel (ATF 147 V 207 consid. 6.1 ; ATF 146 V 51 consid. 5.1 ; arrêt du Tribunal fédéral 8C_114/2021 du 14 juillet 2021 consid. 2.2).</w:t>
      </w:r>
    </w:p>
    <w:p>
      <w:r>
        <w:rPr>
          <w:b/>
        </w:rPr>
        <w:t>E. 8.2</w:t>
      </w:r>
    </w:p>
    <w:p>
      <w:r>
        <w:t>L'exigence afférente au rapport de causalité naturelle est remplie lorsqu'il y a lieu d'admettre que, sans l'événement dommageable de caractère accidentel, le dommage ne se serait pas produit du tout, ou qu'il ne serait pas survenu de la même manière (condition sine qua non) ; il n'est pas en revanche pas nécessaire que l’évènement accidentel en cause soit la cause unique ou immédiate de l'atteinte à la santé (ATF 148 V 138 consid. 5.1.1 ; ATF 146 V 51 consid. 5.1 ; ATF 142 V 435 consid. 1).</w:t>
      </w:r>
    </w:p>
    <w:p>
      <w:r>
        <w:rPr>
          <w:b/>
        </w:rPr>
        <w:t>E. 8.3</w:t>
      </w:r>
    </w:p>
    <w:p>
      <w:r>
        <w:t>Le droit à des prestations suppose en outre l'existence d'un lien de causalité adéquate entre l’évènement accidentel et l’atteinte à la santé subie par l’assuré ; un tel lien existe si, d'après le cours ordinaire des choses et l'expérience de la vie, le fait considéré était propre à entraîner un effet du genre de celui qui s'est produit (ATF 129 V 402 consid. 2.2 ; ATF 129 V 177 consid. 3.2). Toutefois, lorsqu'une atteinte à la santé résulte d’un trouble de nature psychiatrique, le Tribunal fédéral a développé une jurisprudence spécifique dite « psychopraxis » et inaugurée par l’ATF 115 V 133. Selon cette jurisprudence, il convient en premier lieu de classer les accidents en trois catégories, en fonction de leur déroulement ; les accidents insignifiants ou de peu de gravité, les accidents de gravité moyenne et les accidents graves ; pour procéder à cette classification, il convient non pas de s’attacher à la manière dont l’assuré a ressenti et assumé le choc traumatique, mais bien plutôt d’examiner le déroulement des évènements qui saute aux yeux et les forces s'exerçant à cette occasion (ATF 140 V 356 consid. 5.1). En présence d’un accident insignifiant ou de peu de gravité, un lien de causalité adéquate doit, en règle générale, être nié, tandis qu’en principe il doit être admis en cas d’accident grave.</w:t>
      </w:r>
    </w:p>
    <w:p>
      <w:r>
        <w:t>A/3577/2021 - 13/24 - Pour admettre l’existence du lien de causalité en présence d’un accident de gravité se situant entre ces deux extrêmes, il faut prendre en considération les sept critères exhaustifs suivants (ATF 129 V 402 consid. 4.4.1 ; ATF 115 V 133 consid. 6c/aa ; arrêt du Tribunal fédéral 8C_566/2019 du 27 novembre 2020 consid. 3.2) : (1) les circonstances concomitantes particulièrement dramatiques ou le caractère particulièrement impressionnant de l’accident, peu importe la perception subjective de l’assuré (ATF 140 V 356 consid. 5.6.1) ; (2) la gravité ou la nature particulière des lésions, étant précisé que ce critère fait référence aux lésions qui sont propres selon l'expérience de la vie à entrainer des troubles psychiques, soit en raison de leur gravité, soit en raison de l'importance sociale particulière de l'organe touché (arrêt du Tribunal fédéral 8C_235/2020 du 15 février 2021 consid. 4.3.2) ; (3) la durée anormalement longue du traitement médical, qui ne saurait plus être examinée uniquement en fonction de la durée dudit traitement stricto sensu, mais implique l’existence de traitements continus spécifiques et lourds (ATF 148 V 138 consid. 5.3.1 ; ATF 140 V 356 consid. 5.6.2) ; (4) les douleurs persistantes, qui doivent être importantes, sans interruption et crédibles en regard de l’atteinte qu’elles occasionnent sur la vie de tous les jours ; (5) d’éventuelles erreurs dans le traitement médical entraînant une aggravation notable des séquelles de l’accident ; (6) les difficultés particulières apparues au cours de la guérison, notamment des complications importantes ; (7) le degré et la durée de l’incapacité de travail causée par les lésions physiques issues de l’accident, ce critère ne se mesurant pas uniquement au regard de la profession antérieurement exercée par l'assuré, mais en tenant compte de la possibilité d’exercer une activité adaptée aux séquelles accidentelles qu'il présente ; ce critère est en principe rempli en cas d’incapacité de travail complète pendant trois ans (arrêts du Tribunal fédéral 8C_600/2020 du 3 mai 2021 consid. 4.2.4 ; 8C_547/2020 du 1er mars 2021 consid. 5.1). Tous ces critères ne doivent pas être réunis pour que la causalité adéquate soit admise ; un seul d’entre eux peut être suffisant, notamment si l’on se trouve à la limite de la catégorie des accidents graves (ATF 148 V 301 consid. 4.4.1).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 ATF 115 V 133 consid. 6c/bb). En présence d’un accident de gravité moyenne trois critères sur sept doivent être remplis, ou alors un seul mais de façon particulièrement marquante (ATF 148 V 138 consid. 5.4 ; arrêts du Tribunal fédéral 8C_600/2020 du 3 mai 2021 consid. 3.3 ; 8C_566/2019 du 27 novembre 2020 consid. 3.3). Lorsqu'un accident de gravité moyenne se trouve à la limite de la catégorie des accidents peu graves, les circonstances à prendre en considération doivent se cumuler ou revêtir une intensité particulière pour que le caractère adéquat du lien</w:t>
      </w:r>
    </w:p>
    <w:p>
      <w:r>
        <w:t>A/3577/2021 - 14/24 - de causalité puisse être admis (ATF 115 V 140 consid. 6c/aa ; ATF 115 V 409 consid. 5c/aa).</w:t>
      </w:r>
    </w:p>
    <w:p>
      <w:r>
        <w:rPr>
          <w:b/>
        </w:rPr>
        <w:t>E. 8.4</w:t>
      </w:r>
    </w:p>
    <w:p>
      <w:r>
        <w:t>Selon la jurisprudence,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occasionné des atteintes diverses (ATF 115 V 138 ss consid. 6, 407 ss consid. 5; RAMA 1996 n° U 248 p. 177 consid. 4b). Le Tribunal fédéral a jugé que le principe d'un examen séparé de la causalité adéquate vaut également dans les cas où la personne assurée a subi plus d'un accident ayant entraîné un traumatisme du type "coup du lapin" ou un traumatisme analogue. Il n'a cependant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 ou de l'incapacité de travail. Cette circonstance est à considérer dans le cadre de l'appréciation des critères de la gravité et la nature des lésions, du degré et de la durée de l'incapacité de travail, respectivement du traitement médical (arrêts du Tribunal fédéral 8C_477/ 2008 du 19 décembre 2008 consid. 6.1 et les références citées ; 8C_1007/2012 du 11 décembre 2013 consid. 5.1).</w:t>
      </w:r>
    </w:p>
    <w:p>
      <w:r>
        <w:rPr>
          <w:b/>
        </w:rPr>
        <w:t>E. 8.5</w:t>
      </w:r>
    </w:p>
    <w:p>
      <w:r>
        <w:t>En l’occurrence, il ressort du dossier que la recourante a annoncé à la CNA quatre accidents, survenus respectivement les 14 février 2016, 4 décembre 2016, 4 juin 2018 et 8 décembre 2019. Devant la chambre de céans, la recourante ne soutient pas que l’un ou l’autre de ces accidents revêtirait une gravité particulière ; en revanche, elle est d’avis que l'ensemble des accidents qu'elle a subis depuis 2016 « form[e] un tout d’une importante gravité, à tout le moins d’une gravité moyenne […] ». À cet égard, conformément à la jurisprudence précédemment citée, lorsque deux ou plusieurs accidents ont provoqué des troubles du développement psychique, l'existence d'un lien de causalité adéquate doit en principe être appréciée séparément pour chaque accident, ce qui vaut notamment en présence d’accidents ayant touché différentes parties du corps, comme en l’occurrence. Tant la classification en tant qu’accident insignifiant ou de peu de gravité, en accident moyen ou en tant qu’accident grave, que les différents critères se réfèrent à un seul incident (arrêt du Tribunal fédéral des assurances U 300/00 du 22 février 2002 consid. 4b). Ainsi, quoi qu’en dise la recourante, il n’est pas possible d’additionner la gravité des accidents subis pour en tirer la conclusion que ceux-ci formeraient un tout d’une gravité moyenne. Corollairement, la seule circonstance que la recourante a subi un certain nombre d'accidents depuis 2016 n’a aucune incidence sur la causalité adéquate entre ceux-ci et les troubles psychiques dont elle est affectée.</w:t>
      </w:r>
    </w:p>
    <w:p>
      <w:r>
        <w:t>A/3577/2021 - 15/24 - En l’occurrence, les deux chutes subies par la recourante de sa propre hauteur les 14 février et 4 décembre 2016 – et qui se sont soldées respectivement par une fracture disloquée du radius droit et une fracture distale du radius gauche – pourraient, tout au plus, être qualifiées d’accidents de gravité moyenne, à la limite des accidents de peu de gravité (cf., par analogie, arrêt du Tribunal fédéral 8C_934/2010 du 8 novembre 2011 consid. 4.2 [chute de hauteur d’homme avec le poignet gauche en hyperextension, ayant décompensé une pseudarthrose pré- existante du scaphoïde et nécessité une opération du poignet gauche, chute qualifiée par le Tribunal fédéral d’accident de gravité moyenne, à la limite des accidents de peu de gravité] ; cf. également arrêt du Tribunal fédéral 8C_291/2018 du 28 février 2019 consid. 5 [chute en arrière de hauteur d’homme ayant provoqué une fracture du radius droit, chute qualifiée par le Tribunal fédéral d’accident de peu de gravité). Quant aux deux événements survenus en 2018 et 2019, à savoir respectivement une chute ayant provoqué des égratignures sur le genou et l’auriculaire de la main droite, puis une blessure (superficielle) au niveau de l’index droit, ils ne peuvent qu’être qualifiés d’accidents insignifiants ou de peu de gravité, de sorte qu’un éventuel lien de causalité entre ceux-ci et les troubles psychiques affectant la recourante doit être nié d’emblée (cf., par analogie, arrêt du Tribunal fédéral des assurances U 330/00 du 14 mai 2002 consid. 3 [chute de hauteur d’homme n’ayant eu, pour effet immédiat, qu’une contusion de l’épaule] ; cf. également arrêt du Tribunal fédéral des assurances U 188/04 du 18 juillet 2005 consid. 4.4 [assurée s’étant coupé la pulpe du majeur droit avec une ampoule]). Dès lors que, parmi les accidents subis par la recourante, deux peuvent être qualifiés comme étant (tout au plus) de gravité moyenne, à la limite des accidents de peu de gravité, le caractère adéquat des troubles psychiques ne pourrait être admis que si au moins quatre des critères mentionnés plus haut sont remplis ou si l'un d’entre eux se manifeste avec une intensité particulière (arrêt du Tribunal fédéral 8C_259/2016 du 23 janvier 2017 consid.6.2 et la référence). Or, la réalisation des deux premiers critères jurisprudentiels peut être d’emblée niée. En effet, on ne voit pas de circonstances de nature à faire apparaître l’une ou l’autre des chutes subies par la recourante – de sa propre hauteur – en février et décembre 2016 comme particulièrement impressionnantes ou dramatiques. Le seul fait que la recourante se sente angoissée à l'idée de sortir de chez elle, comme elle l’affirme dans son recours, ne suffit pas pour considérer que le critère (n°1) du caractère particulièrement impressionnant des deux chutes survenues en 2016 serait réalisé. Par ailleurs, les lésions physiques provoquées par ces chutes (fracture disloquée du radius droit en février 2016, puis fracture de l’extrémité distale du radius gauche en décembre 2016) ne sont pas d'une gravité particulière et n’apparaissent pas propres à entraîner des troubles psychiques (critère n°2). En outre, la circonstance que la recourante demeure entravée par des limitations fonctionnelles – lesquelles n’empêcheraient toutefois pas l’exercice d’une activité</w:t>
      </w:r>
    </w:p>
    <w:p>
      <w:r>
        <w:t>A/3577/2021 - 16/24 - adaptée à 100 %, selon les rapports du Dr N______ – ne permet pas non plus de retenir le critère de la gravité ou de la nature particulière des lésions physiques. S’agissant du critère (n°3) de la durée anormalement longue du traitement médical, force est de constater que les trois opérations subies par la recourante en février, juin 2017 et octobre 2018 (réduction et ostéosynthèse par plaque, ablation du matériel d’ostéosynthèse et arthrodèse pancarpienne), suite à sa fracture du radius droit, se sont bien déroulées et ont occasionné des hospitalisations de courte durée (à savoir du 25 au 29 février 2016, du 7 au 17 juin 2017 et du 10 au 15 octobre 2018). Il en va de même des deux opérations subies par la recourante en décembre 2016 et juin 2020, suite à sa fracture du radius gauche (pose d’une plaque ayant donné lieu à une hospitalisation du 4 au 9 décembre 2016, puis ablation du matériel d’ostéosynthèse le 10 juin 2020 [intervention ambulatoire]). Dans ces conditions, on ne saurait parler d’un « temps de convalescence extrêmement long », contrairement à ce qu’affirme la recourante dans sa réplique. Pour le reste, le traitement des deux poignets a consisté, sous l’angle somatique, en des mesures conservatrices (physiothérapie, ergothérapie, prise d'antalgiques et infiltrations), ce qui ne saurait être considéré comme un traitement pénible et invasif sur une longue durée. Quant au suivi psychiatrique dont a bénéficié la recourante auprès du Dr J______, puis auprès des Drs M______ et P______, il n’a pas à être pris en compte dans l’examen de la causalité adéquate, de sorte que le critère de la durée anormalement longue du traitement médical n'est pas non plus réalisé. À juste titre, la recourante ne prétend pas avoir été victime d’une erreur dans le traitement médical (critère n°5), et rien de tel ne ressort du dossier. Quant au critère (n°4) des douleurs persistantes dues aux seules atteintes à la santé physique, à supposer qu’il puisse être considéré comme rempli, ce qui paraît douteux, il ne se serait quoi qu’il en soit pas manifesté dans une mesure qualifiée (autrement dit de façon « particulièrement marquante »), car des périodes d’atténuation des douleurs sont documentées : à titre d’exemple, il ressort du rapport de la G______ du 15 novembre 2017 que, suite à l’ablation du matériel d’ostéosynthèse effectuée au niveau du poignet droit, en juin 2017, les douleurs de la recourante étaient alors moindres, tandis que son SDRC ne présentait que « peu d’activité clinique ». En outre, il ressort des rapports établis par le Dr N______, qu’à l’époque où elle a été examinée par ce médecin, en mai 2020 et janvier 2021, la recourante ne prenait plus que des antalgiques légers (Doliprane / Dafalgan) « en cas de besoin » – donc pas quotidiennement –, ce qui plaide contre l’existence de douleurs importantes et ininterrompues pendant toute la durée écoulée entre l’accident et la clôture du cas. Compte tenu des éléments qui précèdent, il n’est pas nécessaire d’examiner si les critères (n°6 et 7) des difficultés particulières apparues au cours de la guérison, ainsi que du degré et de la durée de l’incapacité de travail, sont réalisés. En effet,</w:t>
      </w:r>
    </w:p>
    <w:p>
      <w:r>
        <w:t>A/3577/2021 - 17/24 - même si ces deux critères devaient être admis, ils se révéleraient quoi qu’il en soit (nettement) insuffisants pour retenir l’existence d’un lien de causalité adéquate entre des troubles psychiques et des accidents de gravité moyenne, à la limite des accidents de peu de gravité, à l’instar des chutes qu’a subies la recourante. Enfin, il convient de relever qu’aucun de ces critères ne s’est manifesté d’une manière particulièrement marquante. Cela est d’autant plus vrai que la question du lien de causalité adéquate doit être examinée en excluant les aspects psychiques (cf. arrêt du Tribunal fédéral 8C_934/2010 du 8 novembre 2011 consid. 4.2) et qu’en l’occurrence, des facteurs psychogènes – notamment une fragilité psychique pré-existante aux accidents, fragilité liée à des violences et à des abus subis pendant plusieurs années durant l’enfance et l’adolescence – ont joué un rôle significatif dans l’évolution défavorable des troubles affectant le poignet droit, contribuant ainsi à une forme de « chronicisation » de l’état de la recourante et prolongeant en conséquence la durée de l’incapacité de travail ainsi que le processus de guérison, comme cela peut être déduit des rapports versés au dossier (cf. not. rapports du Dr K______ des 23 octobre 2019 et 7 octobre 2020). Il s’ensuit que les accidents invoqués par la recourante ne peuvent être tenus pour la cause adéquate de ses troubles psychiques. L'intimée ne répond donc pas de ces troubles, indépendamment du fait que le Dr K______ ait considéré qu'il existait un lien de causalité naturelle partiel entre ceux-ci et l'accident, point de vue que la Dresse P______ semble partager. En effet, l'existence d'un lien de causalité adéquate est une question de droit, qui doit être tranchée à l'aune d'une appréciation juridique (arrêt du Tribunal fédéral 8C_235/2014 du 19 février 2015 consid. 3.1). C’est donc à bon droit que l’intimée a considéré que la capacité de travail devait être examinée au regard des seules atteintes somatiques. C’est le lieu de préciser que la reconnaissance par l’assurance-invalidité d’une totale incapacité de travail et (de gain), justifiant l’octroi par ladite assurance d’une rente entière depuis le 1er mars 2017 (cf. courrier de l’OAI du 9 juin 2022), n’a pas d’incidence sur la présente cause, contrairement à ce que semble considérer la recourante. Comme on l’a vu, la responsabilité de l'assureur-accidents se limite en effet aux seules atteintes qui se trouvent en lien de causalité naturelle et adéquate avec l'accident assuré (ATF 119 V 337 consid. 1 et les références).</w:t>
      </w:r>
    </w:p>
    <w:p>
      <w:r>
        <w:rPr>
          <w:b/>
        </w:rPr>
        <w:t>E. 9.1</w:t>
      </w:r>
    </w:p>
    <w:p>
      <w:r>
        <w:t>S’agissant ensuite de l’aspect somatique, la décision retient que, selon le rapport du Dr N______ du 13 janvier 2021, la recourante bénéficie d’une capacité de travail de 100 %, sans diminution de rendement, dans toute activité adaptée aux limitations fonctionnelles affectant ses membres supérieurs. Compte tenu des perspectives de gain dont elle bénéficie dans toute activité adaptée à son handicap du point de vue somatique, la recourante ne subit aucune perte de gain et ne peut donc pas prétendre à l’octroi d’une rente.</w:t>
      </w:r>
    </w:p>
    <w:p>
      <w:r>
        <w:t>A/3577/2021 - 18/24 - De son côté, la recourante conteste être capable de travailler à plein temps dans une activité très légère et ne nécessitant pas une dextérité fine avec la main droite. Elle souligne ses douleurs et son incapacité à se servir pleinement de sa main dominante, ce dont témoignerait le fait qu’il lui est arrivé de se blesser en cuisinant.</w:t>
      </w:r>
    </w:p>
    <w:p>
      <w:r>
        <w:rPr>
          <w:b/>
        </w:rPr>
        <w:t>E. 9.2</w:t>
      </w:r>
    </w:p>
    <w:p>
      <w:r>
        <w:t>Il convient d'examiner la valeur probante du rapport du Dr N______ du</w:t>
      </w:r>
    </w:p>
    <w:p>
      <w:r>
        <w:rPr>
          <w:b/>
        </w:rPr>
        <w:t>E. 9.3</w:t>
      </w:r>
    </w:p>
    <w:p>
      <w:r>
        <w:t>La chambre de céans constate que le rapport du Dr N______ du 13 janvier 2021, confirmant en substance les conclusions envisagées par ce même médecin dans un rapport antérieur (daté du 14 mai 2020), a été établi en pleine connaissance du dossier, relate les plaintes de l'assurée et repose sur des examens cliniques complets. Ses conclusions, attestant d'une pleine capacité de travail dans toute activité légère et adaptée aux limitations fonctionnelles affectant les membres supérieurs, sont motivées et exemptes de contradictions. Ce rapport – au</w:t>
      </w:r>
    </w:p>
    <w:p>
      <w:r>
        <w:t>A/3577/2021 - 19/24 - même titre que celui du 14 mai 2020 – satisfait donc aux réquisits jurisprudentiels en matière de valeur probante (ATF 125 V 351 consid. 3b/bb). En outre, il convient de relever qu'aucun autre médecin n'a émis de conclusions permettant de s'écarter de la pleine exigibilité retenue par le Dr N______ au plan somatique. En effet, dans leur rapport du 30 septembre 2019, les médecins de la G______, après avoir énoncé des limitations fonctionnelles essentiellement similaires à celles retenues par le Dr N______ (exclusion du port de charges supérieures à 5 kg et des mouvements répétés et prolongés avec le poignet droit, en particulier ceux de flexions-extension nécessitant de la force), ont indiqué que d’un point de vue médico-théorique, si l’activité antérieure de gouvernante ne leur paraissait plus exigible, l’assurée « devait pouvoir fonctionner » dans une activité très légère. Certes, les médecins de la G______ ont jugé « défavorable » le pronostic d’une réinsertion professionnelle, mais ils ont précisé que cela résultait de facteurs extra-médicaux, dont l’intimée n’a pas à répondre (tels qu’une sous-estimation par l’intéressée de ses capacités et une kinésiophobie). Quant au chirurgien de la recourante, le Dr H______, il a fait état, dans son rapport du 10 juillet 2019, d’une évolution « tout à fait satisfaisante » en lien avec l’ergothérapie, ainsi que d’une fonctionnalité « correcte » de la main droite et du poignet. De surcroît, ce chirurgien n’a établi aucun rapport ou certificat postérieur à celui rédigé par le Dr N______ en janvier 2021, dont les conclusions ne sont dès lors pas mises en doute. Pour le reste, contrairement à ce que soutient la recourante, l’intimée pouvait valablement quantifier sa capacité de travail en faisant abstraction des rapports établis par les psychiatres qu’elle avait consultés (dont celui établi en mai 2020 par le Dr M______, retenant une capacité de travail de 50 %), faute de lien de causalité adéquate entre les troubles psychiques et les accidents dont elle avait à répondre, comme on l’a vu. Pour terminer, on relèvera que l’exigibilité à 100 % d’une activité adaptée a été confirmée dans diverses causes ressortant de la jurisprudence, impliquant des atteintes et des limitations fonctionnelles similaires à celles de la recourante (cf. arrêts du Tribunal fédéral 8C_175/2017 du 30 octobre 2017 consid. 6.2.2 [assuré ayant subi des fractures des deux poignets entraînant des limitations fonctionnelles liées aux travaux exigeant de la force et à l'utilisation répétitive de ces deux articulations] et 8C_971/2008 du 23 mai 2009 consid. 4.2.6.2 [assurée ayant subi une fracture du radius distal du poignet droit et une fissure de la tête radiale du poignet gauche, présentant des séquelles sous la forme de douleurs persistantes au niveau du poignet droit en raison d’un mauvais positionnement] ; cf. également arrêt du Tribunal fédéral 8C_129/2022 du 25 novembre 2022 consid. 3 ss [assuré ayant subi des fractures des poignets entraînant des limitations fonctionnelles liées au port de charges supérieures à 2 kg]). Dans ce contexte, il convient d’admettre que les secteurs de la production et des services recouvrent un large éventail d'activités, dont un nombre suffisant d’activités légères et</w:t>
      </w:r>
    </w:p>
    <w:p>
      <w:r>
        <w:t>A/3577/2021 - 20/24 - accessibles à la recourante, ne nécessitant ni travaux de manutention fine avec la main / le poignet droits, ni port de charges moyennes ou lourdes.</w:t>
      </w:r>
    </w:p>
    <w:p>
      <w:r>
        <w:rPr>
          <w:b/>
        </w:rPr>
        <w:t>E. 9.4</w:t>
      </w:r>
    </w:p>
    <w:p>
      <w:r>
        <w:t>Au vu de ce qui précède, la chambre de céans se rallie aux conclusions du Dr N______, lesquelles rejoignent l'avis des médecins de la G______ en ce qui concerne le volet somatique du dossier. Il en résulte, au degré de la vraisemblance prépondérante, une capacité de travail de 100 %, sous l'angle somatique, dans un poste adapté à l'état de santé de la recourante dès le 12 janvier 2021, date de l'examen du Dr N______. À ce propos, on précisera incidemment que l’intimée a consenti à poursuivre le versement des indemnités journalières au-delà de cette date, à savoir jusqu’au 30 avril 2021. 10. Dans sa décision, l’intimée a arrêté (à CHF 55'630.-) le gain d’invalide exigible de la recourante malgré ses limitations fonctionnelles, et a constaté que celui-ci était supérieur au gain de valide (de CHF 53'964.-) qu’elle aurait perçu si elle n’avait pas subi d’accidents. L’intimée en a déduit que la recourante ne subissait aucune perte de gain, ce qui excluait l’octroi d’une rente de l’assurance-accidents. Dans ses écritures, la recourante ne conteste pas, en tant que tel, les termes de la comparaison des gains opérée par l’intimée. Il n’y a donc pas lieu de s’écarter des chiffres retenus par cette dernière. Dès lors que la comparaison des revenus ne met pas en évidence de perte de gain, c’est à bon droit que l’intimée a refusé d’accorder à la recourante une rente d’invalidité de l’assurance-accidents (art. 18 al. 1 LAA). 11. En dernier lieu, la recourante requiert que le taux de l’indemnité pour atteinte à l’intégrité qui lui a été accordée soit porté à 50 % au lieu de 20 %. 11.1 Aux termes de l'art. 24 LAA, si par suite d'un accident, l'assuré souffre d'une atteinte importante et durable à son intégrité physique, mentale ou psychique, il a droit à une indemnité équitable pour atteinte à l'intégrité (al. 1). Aux termes de l'art. 36 al. 1 OLAA (RS 832.802),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w:t>
      </w:r>
    </w:p>
    <w:p>
      <w:r>
        <w:t>A/3577/2021 - 21/24 - 8C_703/2008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11.2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de l'OLAA. Cette annexe comporte un barème - reconnu conforme à la loi et non exhaustif (ATF 124 V 29 consid. 1b, 209 consid. 4a/bb ; 113 V 218 consid. 2a) - des lésions fréquentes et caractéristiques, évaluées en pour cent. L'indemnité allouée pour les atteintes à l'intégrité désignées à l'annexe 3 de l'OLAA s'élève, en règle générale, au pourcentage indiqué du montant maximum du gain assuré (ch. 1 al. 1). Pour les atteintes à l'intégrité spéciales ou qui ne figurent pas dans la liste, le barème est appliqué par analogie, compte tenu de la gravité de l'atteinte (ch. 1 al. 2). Le taux d'une atteinte à l'intégrité doit être évalué exclusivement sur la base de constatations médicales (ATF 115 V 147 consid. 1; ATF 113 V 218 consid. 4b; RAMA 2004 p. 415; arrêt du Tribunal fédéral des assurances U.134/03 du 12 janvier 2004 consid. 5.2).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132 II 117 consid. 2.2.3; ATF 124 V 209 consid. 4.cc; ATF 116 V 156 consid. 3). Selon la table n° 5 de la CNA concernant les atteintes résultant d'arthroses, l'arthrose radiocarpienne grave correspond à une atteinte de 10 % à 25 %, tandis</w:t>
      </w:r>
    </w:p>
    <w:p>
      <w:r>
        <w:t>A/3577/2021 - 22/24 - qu’une résection ou une arthrodèse correspond à une atteinte de 15 %. La table n°5 précise que si l’articulation considérée présente une instabilité en plus de l’arthrose, on retiendra le taux d’atteinte à l’intégrité le plus élevé (exemple : pangonarthrose grave avec instabilité complexe: 30 à 40 %). En règle générale, un cumul n’est pas possible. En outre, la table n° 1 de la CNA prévoit notamment, en ce qui concerne le poignet, un taux d'atteinte à l'intégrité de 15 % pour une arthrodèse radio-carpienne et de 10 % pour une arthrodèse intracarpienne. 11.3 Selon l'art. 36 al. 2 LAA,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Le Tribunal fédéral a eu l'occasion de préciser que la seconde phrase de l'art. 36 al. 2 LAA n'est pas applicable aux indemnités pour atteinte à l'intégrité (arrêts du Tribunal fédéral 8C_192/2015 du 1er mars 2016 consid. 5.2 et U 374/06 du 29 juin 2007 consid. 2 publié in SVR 2008 UV n° 6 p. 19). Il s'ensuit que cette prestation peut être réduite en raison d'un état préexistant, même si cet état n'avait aucune incidence sur la capacité de gain de la personne assurée avant l'accident. En vertu de l'art. 47 OLAA, l'ampleur de la réduction des indemnités pour atteinte à l'intégrité qui est opérée en raison de causes étrangères à l'accident est déterminée en fonction du rôle de celles-ci dans l'atteinte à la santé; la situation personnelle et économique de l'ayant droit peut également être prise en considération. 11.4 En l’espèce, le Dr N______ a évalué l’atteinte à l’intégrité en se référant aux tables d’indemnisation de la CNA, singulièrement à la table n° 5 (atteinte à l’intégrité résultant d’arthrose) dont il résulte que le taux de l’atteinte est fixé entre 10 et 25 % en cas d’arthrose (radiocarpienne) grave et à 15 % en cas de résection ou d’arthrodèse. Le médecin a précisé avoir tenu compte de l’état préopératoire concernant le poignet droit. S’agissant du poignet gauche, il a considéré qu’il n’y avait pas d’atteinte à l’intégrité, vu l’absence d’arthrose ou de limitations fonctionnelles de ce côté-là. La chambre de céans rappelle que le taux d’une atteinte à l’intégrité doit être évalué exclusivement sur la base de constatations médicales (ATF 115 V 147 consid. 1 ; ATF 113 V 218 consid. 4b ; arrêt du Tribunal fédéral 8C_459/2008 du 4 février 2009 consid. 2.3). Dans le cas particulier, il appert qu’hormis le Dr N______, aucun médecin ne s’est prononcé sur la question du taux de l’atteinte à l’intégrité, de sorte que le dossier ne renferme aucun avis médical propre à mettre en doute l’appréciation du médecin d’arrondissement sur ce point. Par ailleurs, on relèvera une fois encore que, dans la mesure où – pour justifier une augmentation à 50 % du taux de l’indemnité pour atteinte à l’intégrité – la</w:t>
      </w:r>
    </w:p>
    <w:p>
      <w:r>
        <w:t>A/3577/2021 - 23/24 - recourante insiste (derechef) sur les troubles psychogènes dont elle souffre, son argumentation se révèle dénuée de pertinence, l’intimée n’ayant pas à répondre de ces troubles, faute de lien de causalité adéquate avec les accidents. Ensuite, en tant que la recourante affirme être « très handicapée par sa main droite, en raison des douleurs ressenties et de la perte de force […] », il convient de relever que l’évaluation de l’atteinte à l’intégrité est fixée exclusivement en fonction de facteurs médicaux objectifs, comme exposé ci-dessus, ce qui commande de faire abstraction de facteurs subjectifs telles que les douleurs alléguées. En outre, dans son rapport du 13 janvier 2021, le Dr N______ a précisément tenu compte de l’atteinte affectant le poignet droit, laquelle a donné lieu à une arthrodèse (soit à un blocage de l’articulation du poignet), ainsi que de l’état « préopératoire » dudit poignet, ce qui n’est pas remis en question dans le recours. Pour le reste, dans la mesure où le taux de 20 % retenu par le Dr N______ se situe dans la frange haute de la fourchette applicable aux cas d’arthroses radiocarpiennes graves (10 % à 25 %), qu’il excède par ailleurs le taux de 15 % prévu par les tables de la CNA (n°1 et 5) en cas d’arthrodèse (radio-carpienne) et que la référence faite par ce médecin à ces deux types d’atteintes est incontestée, les critiques de la recourante ne sont pas de nature à mettre en cause son appréciation. Aussi, le taux de l’atteinte à l’intégrité, arrêté à 20 %, sera-t-il confirmé. 12. Mal fondé, le recours est rejeté.</w:t>
      </w:r>
    </w:p>
    <w:p>
      <w:r>
        <w:rPr>
          <w:b/>
        </w:rPr>
        <w:t>E. 13</w:t>
      </w:r>
    </w:p>
    <w:p>
      <w:r>
        <w:t>La recourante, qui succombe, n'a pas droit à des dépens.</w:t>
      </w:r>
    </w:p>
    <w:p>
      <w:r>
        <w:rPr>
          <w:b/>
        </w:rPr>
        <w:t>E. 14</w:t>
      </w:r>
    </w:p>
    <w:p>
      <w:r>
        <w:t>La procédure est gratuite (art. 61 let. fbis LPGA a contrario ; art. 89H al. 1 LPA). *****</w:t>
      </w:r>
    </w:p>
    <w:p>
      <w:r>
        <w:t>A/3577/2021 - 24/24 -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