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ATAS/132/2020 vom 21. Februar 2020</w:t>
      </w:r>
    </w:p>
    <w:p>
      <w:r>
        <w:t>GE Cour de justice, 2020-02-21, FR</w:t>
      </w:r>
    </w:p>
    <w:p>
      <w:r>
        <w:rPr>
          <w:b/>
        </w:rPr>
        <w:t xml:space="preserve">Quelle: </w:t>
      </w:r>
      <w:r>
        <w:t>https://mcp.opencaselaw.ch/entscheid/ge_gerichte_ATAS_132_2020</w:t>
      </w:r>
    </w:p>
    <w:p>
      <w:r>
        <w:t>FR: GE_GERICHTE ATAS/132/2020 du 21 février 2020</w:t>
      </w:r>
    </w:p>
    <w:p>
      <w:r>
        <w:t>IT: GE_GERICHTE ATAS/132/2020 del 21 febbraio 2020</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b. Le contrat d'assurance d'indemnités journalières en cas de maladie couvrant le risque de perte de gain, soumis à la LCA, relève de l'assurance complémentaire à l'assurance-maladie sociale (arrêts du Tribunal fédéral 4A_47/2012 du 12 mars</w:t>
      </w:r>
    </w:p>
    <w:p>
      <w:r>
        <w:t>A/4575/2018 - 11/17 - 2012 consid. 2; 4A_118/2011 du 11 octobre 2011 consid. 1.3 et les références citées). c. Selon la police d’assurance, le contrat est notamment régi par les Conditions générales (ci-après : CG) pour l’assurance maladie collective, Édition 2008, dont l’art. 1 let. c prévoit que, sauf dispositions contraires, les dispositions de la LCA font foi.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20 CG prévoit qu’en cas de litige, dans le cadre de l’assurance collective d’indemnité journalière en cas de maladie souscrite par un employeur pour ses employés, leur lieu de travail en Suisse est également reconnu comme for juridique. Le demandeur, en sa qualité d'employé, ayant travaillé dans le canton de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w:t>
      </w:r>
    </w:p>
    <w:p>
      <w:r>
        <w:t>A/4575/2018 - 12/17 -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5</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w:t>
      </w:r>
    </w:p>
    <w:p>
      <w:r>
        <w:t>A/4575/2018 - 13/17 -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w:t>
      </w:r>
    </w:p>
    <w:p>
      <w:r>
        <w:rPr>
          <w:b/>
        </w:rPr>
        <w:t>E. 6</w:t>
      </w:r>
    </w:p>
    <w:p>
      <w:r>
        <w:t>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cf. également ATF 134 V 231 consid 5.1; arrêt du Tribunal fédéral 4A_412/2010 du 27 septembre 2010 consid. 3.1).</w:t>
      </w:r>
    </w:p>
    <w:p>
      <w:r>
        <w:t>A/4575/2018 - 14/17 - Par ailleurs, le juge doit avoir égard au fait que la relation de confiance unissant un patient à son médecin traitant peut influencer l'objectivité ou l'impartialité de celui- 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du 2 mars 1999).</w:t>
      </w:r>
    </w:p>
    <w:p>
      <w:r>
        <w:rPr>
          <w:b/>
        </w:rPr>
        <w:t>E. 7</w:t>
      </w:r>
    </w:p>
    <w:p>
      <w:r>
        <w:t>Selon l’art. 126 CPC, le tribunal peut ordonner la suspension de la procédure si des motifs d'opportunité le commandent. La procédure peut notamment être suspendue lorsque la décision dépend du sort d'un autre procès (al. 1). L'ordonnance de suspension peut faire l'objet d'un recours (al. 2).</w:t>
      </w:r>
    </w:p>
    <w:p>
      <w:r>
        <w:rPr>
          <w:b/>
        </w:rPr>
        <w:t>E. 8</w:t>
      </w:r>
    </w:p>
    <w:p>
      <w:r>
        <w:t>Le litige porte sur le droit éventuel du demandeur à des indemnités journalières de la part de la défenderesse pendant la durée maximale du droit à l'indemnité.</w:t>
      </w:r>
    </w:p>
    <w:p>
      <w:r>
        <w:rPr>
          <w:b/>
        </w:rPr>
        <w:t>E. 9</w:t>
      </w:r>
    </w:p>
    <w:p>
      <w:r>
        <w:t>a.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 b. En l’espèce, la police d'assurance prévoit une indemnité journalière en cas de maladie s'élevant à 80 % du salaire assuré, versée pendant 730 jours au maximum, sous déduction d'un délai d'attente de 30 jours. Selon l’art. 2 ch. 1 CG, l’assurance couvre, dans le cadre des dispositions contractuelles les conséquences économiques d’un événement assuré, stipulées dans un contrat écrit. L’art. 3 ch. 1 CG définit la maladie comme suit : « Est réputée maladie toute atteinte à la santé physique, mentale ou psychique qui n’est pas due à un accident et qui exige un examen ou un traitement médical ou provoque une incapacité de travail ». Le ch. 4 précise qu’« est réputée incapacité de travail toute perte, totale ou partielle, de l’aptitude de l’assuré à accomplir, tant dans sa profession actuelle que dans une autre profession ou domaine d’activité, le travail qui peut raisonnablement être exigé de lui, si cette perte résulte d’une atteinte à sa santé physique, mentale ou</w:t>
      </w:r>
    </w:p>
    <w:p>
      <w:r>
        <w:t>A/4575/2018 - 15/17 - psychique. Seules les conséquences de l’atteinte à la santé sont prises en compte pour juger de la présence d’une incapacité de travail. De plus, il n’y a incapacité de travail que si celle-ci n’est pas objectivement surmontable ». Selon l’art. 5 ch. 1 des conditions complémentaires (CC) pour l’assurance de l’indemnité journalière de maladie, Édition 2008, faisant partie intégrante de la police d’assurance, l’indemnité journalière se calcule en fonction du degré de l’incapacité de travail attesté médicalement. Une incapacité de travail de moins de 25 % ne donne pas droit à l’indemnité journalière.</w:t>
      </w:r>
    </w:p>
    <w:p>
      <w:r>
        <w:rPr>
          <w:b/>
        </w:rPr>
        <w:t>E. 10</w:t>
      </w:r>
    </w:p>
    <w:p>
      <w:r>
        <w:t>En l’occurrence, la défenderesse n’est pas tenue de prendre en charge les troubles de l’épaule et du coude gauche ni les lombalgies, qui, de l’aveu même du demandeur, sont dus à un accident, évènement qui n’est pas couvert par la police d’assurance. En revanche, le Dr C______ a retenu un état anxio-dépressif, avec effet sur la capacité de travail, depuis le mois de mai 2017 (rapports des 28 juin, 10 juillet, 26 novembre 2017 et 11 mai 2018), affection pour laquelle la défenderesse a versé des indemnités journalières sur la base des certificats d’arrêt de travail émis par le médecin traitant. Cette dernière, se référant au rapport d’expertise de la Dresse D______ du 6 octobre 2017, a toutefois cessé de prester. Ce rapport d’expertise, élaboré par la clinique Corela, est cependant sujet à caution. En effet, la question de la force probante des expertises réalisées par la clinique Corela a donné lieu à l'arrêt du Tribunal fédéral 2C_32/2017 du 22 décembre 2017 relatif au retrait de l'autorisation d'exploitation, dans lequel le Tribunal fédéral retenait qu'au au vu des très importants manquements dans la gestion de cette clinique et en particulier des graves violations des devoirs professionnels incombant à une personne responsable d'un tel établissement, une mesure de retrait de trois mois de l'autorisation d'exploiter n'était pas disproportionnée, relevant qu'en prononçant cette sanction, l'autorité s'est limitée à trois mois de retrait, alors qu'il n'aurait pas été exclu de prendre une mesure plus contraignante. Dans un arrêt postérieur, le Tribunal fédéral a considéré qu'il n'était pas admissible de reprendre les conclusions d'une expertise qui avait été établie par la clinique Corela dans des circonstances qui ébranlaient de manière générale la confiance placée dans l'institution mandatée à cet effet et qu'il y avait donc lieu de l'écarter (ATF 144 V 258 ; cf. ATAS/1176/2019 du 18 décembre 2019 consid, 13a ; ATAS/770/2019 du 29 août 2019 consid. 8). Aussi, comme l’avait pourtant proposé le Dr E______, psychiatre traitant (rapport du 27 février 2018), la défenderesse aurait-elle dû mettre en œuvre une nouvelle expertise. Il est vrai que la capacité de travail du demandeur est nulle dans son activité habituelle, ce que la défenderesse ne conteste pas. En revanche, les rapports médicaux au dossier ne permettent pas de déterminer depuis quand et à quel taux le demandeur est apte à exercer une activité adaptée.</w:t>
      </w:r>
    </w:p>
    <w:p>
      <w:r>
        <w:t>A/4575/2018 - 16/17 - En effet, dans son rapport du 27 février 2018, le Dr E______ n’explique pas les motifs pour lesquels il considère que le demandeur, en dépit du traitement instauré ayant apporté une amélioration de son état, ne peut pas reprendre un travail. Dans son rapport du 11 mai 2018, le Dr C______ estime que le demandeur peut travailler dans une activité adaptée, mais ne précise pas à partir de quand ni à quel taux. Si, dans son rapport du 22 mai 2018, le Dr E______ admet une capacité de travail de 70 % dans une activité adaptée, de manière contradictoire, il retient une capacité de travail nulle dans toute activité depuis octobre 2017 dans ses rapports des 2 octobre 2018 et 2 avril 2019, alors que le demandeur ne prend pas d’antidépresseur (cf. avis du SMR du 6 mars 2019, procès-verbal de comparution des parties du 8 juillet 2019, rapport du Dr E______ du 2 juillet 2019). Force est de constater que les pièces produites par les parties ne permettent pas de statuer sur le litige. Il s’avère donc qu’une expertise psychiatrique est nécessaire, comme le requiert le demandeur, afin de clarifier les éventuelles conséquences de l’atteinte à la santé psychique sur sa capacité de travail et la manière dont celle-ci a évolué au fil du temps. L’OAI a déjà ordonné une expertise psychiatrique, de sorte que l’état de santé psychique du demandeur fera l’objet d’un examen détaillé et complet, une fois le litige, défini par la décision incidente du 21 août 2019, portant sur le droit de l’OAI de mandater le Dr H______ pour expertise, résolu (procédure A/3523/2019). Cette cause, qui est aujourd'hui en état d'être jugée, le sera prochainement. En conséquence, la chambre de céans estime qu’il se justifie de suspendre la présente procédure (A/4575/2018), jusqu’à réception du rapport d’expertise qui sera mise en œuvre par l’OAI, ce qui lui permettra en l’état de faire l’économie de mesures d’instruction, en particulier de la mise en œuvre d’une expertise judiciaire. Pour le surplus, la procédure est gratuite (art. 114 let. e CPC).</w:t>
      </w:r>
    </w:p>
    <w:p>
      <w:r>
        <w:t>A/4575/2018 - 17/17 -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