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ATAS/132/2008 vom 5. Februar 2008</w:t>
      </w:r>
    </w:p>
    <w:p>
      <w:r>
        <w:t>GE Cour de justice, 2008-02-05, FR</w:t>
      </w:r>
    </w:p>
    <w:p>
      <w:r>
        <w:rPr>
          <w:b/>
        </w:rPr>
        <w:t xml:space="preserve">Quelle: </w:t>
      </w:r>
      <w:r>
        <w:t>https://mcp.opencaselaw.ch/entscheid/ge_gerichte_ATAS_132_2008</w:t>
      </w:r>
    </w:p>
    <w:p>
      <w:r>
        <w:t>FR: GE_GERICHTE ATAS/132/2008 du 5 février 2008</w:t>
      </w:r>
    </w:p>
    <w:p>
      <w:r>
        <w:t>IT: GE_GERICHTE ATAS/132/2008 del 5 febbraio 2008</w:t>
      </w:r>
    </w:p>
    <w:p>
      <w:pPr>
        <w:pStyle w:val="Heading2"/>
      </w:pPr>
      <w:r>
        <w:t>Erwägungen</w:t>
      </w:r>
    </w:p>
    <w:p>
      <w:r>
        <w:rPr>
          <w:b/>
        </w:rPr>
        <w:t>E. 1</w:t>
      </w:r>
    </w:p>
    <w:p>
      <w:r>
        <w:t>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 après: LAI). Sa compétence à raison de la matière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La LPGA s’applique donc au cas d’espèce.</w:t>
      </w:r>
    </w:p>
    <w:p>
      <w:r>
        <w:rPr>
          <w:b/>
        </w:rPr>
        <w:t>E. 3</w:t>
      </w:r>
    </w:p>
    <w:p>
      <w:r>
        <w:t>Interjeté dans la forme et le délai prévus par la loi, le recours est recevable, en vertu des art. 56 et ss LPGA.</w:t>
      </w:r>
    </w:p>
    <w:p>
      <w:r>
        <w:rPr>
          <w:b/>
        </w:rPr>
        <w:t>E. 4</w:t>
      </w:r>
    </w:p>
    <w:p>
      <w:r>
        <w:t>La question litigieuse que le Tribunal de céans doit trancher consiste à savoir si les atteintes subies par la recourante à sa santé physique et mentale doivent être considérées comme invalidantes au sens de la LAI et donc ouvrir le droit aux prestations prévues par cette loi, entre autre la rente (conclusion principale de la recourante) et les mesures de réadaptation professionnelle (conclusion subsidiaire de la recourante).</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w:t>
      </w:r>
    </w:p>
    <w:p>
      <w:r>
        <w:t>A/522/2007 - 8/15 - des prestations, l'administration ou le juge ont besoin de documents que les médecins et experts doivent leur fournir. L'appréciation des données médicales revêt ainsi une importance d'autant plus grande dans ce contexte.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ou de l'expert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w:t>
      </w:r>
    </w:p>
    <w:p>
      <w:r>
        <w:t>A/522/2007 - 9/15 -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Tribunal fédéral des assurances (ci-après: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w:t>
      </w:r>
    </w:p>
    <w:p>
      <w:r>
        <w:rPr>
          <w:b/>
        </w:rPr>
        <w:t>E. 6</w:t>
      </w:r>
    </w:p>
    <w:p>
      <w:r>
        <w:t>En l'occurrence, antérieurement à la procédure devant le Tribunal de céans, deux rapports médicaux ont étés versés au dossier de demande de prestations AI: celui du médecin traitant de la recourante et celui effectué par le SMR Léman. Ils divergent tant dans leurs diagnostics que dans leurs conclusions quant au caractère invalidant des troubles diagnostiqués. Amenée, lors de sa comparution personnelle du 17 avril 2007, à s'exprimer sur le rapport du SMR Léman, la recourante conteste le fait qu'elle aille deux fois par semaine à la piscine. Elle confirme le rapport pour le surplus. Au-delà de ce point concernant les activités prétendues de la recourante, ce qui trouble est l'affirmation qu'une exploration psychodynamique en profondeur (non effectuée dans le cadre de cet examen) est nécessaire pour vérifier un éventuel état psychique cristallisé chez la recourante. La recourante critique également le caractère sommaire du volet psychiatrique de l'examen mené par le SMR Léman, chose qui est confirmée par le Docteur A________, médecin traitant de la recourante, lors de son audition en tant que témoin du 12 juin 2007. Lors de cette même audition, il maintient que la recourante souffre d'un état dépressif, comme déjà dit dans son rapport à l'OFFICE CANTONAL DE L'ASSURANCE- INVALIDITE (ci-après: OCAI). Il n'est toutefois pas spécialiste F.M.H. en psychiatrie-psychothérapie. Au vu de ces éléments pouvant faire naître légitimement des doutes sur l'état psychiatrique réel de la recourante, le Tribunal de</w:t>
      </w:r>
    </w:p>
    <w:p>
      <w:r>
        <w:t>A/522/2007 - 10/15 - céans a appliqué la jurisprudence précitée concernant la nécessité de prendre du recul vis-à-vis des rapports médicaux émanant du médecin traitant de la partie en cause et de la nécessité d'instruire complémentairement aux fins d'éclaircir les aspects psychiatriques du cas, en commettant une nouvelle expertise. En revanche, les conclusions sur le volet rhumatologique ne sont pas remises en discussion. L'expertise a été réalisée par le Docteur G________, et reprend les conclusions du SMR Léman quant à l'absence de troubles invalidants. Amenée à se prononcer sur cette nouvelle expertise, la recourante l'a derechef critiquée. In extenso, elle rappelle: que son oncle n'est pas alcoolique mais décédé, que sa sœur ne tient pas un commerce mais est commerciale, que son époux n'a jamais été agent de sécurité aux CFF, qu'elle fait chambre à part avec son époux en raison du bruit d'une machine et non des apnées de sommeil de Monsieur, que sa fille n'a pas vécu d'abus sexuels mais a été violentée physiquement et psychologiquement par son ex-époux. Elle rappelle que tant le Docteur A________ que la Doctoresse B________ concluent à un état dépressif. Le Tribunal de céans entend bien les remarques de la recourante. Toutefois, même à admettre que les critiques susmentionnées sont exactes, l'on ne distingue pas en quoi elles auraient pu induire en erreur l'expert au point de mettre son rapport en discussion. Le Tribunal de céans ne voit pas de lien de causalité logique entre la position professionnelle de membres de sa famille et l'état de santé de la recourante. Peu importe dans ce contexte de savoir pourquoi les époux font chambre séparée. Le prétendu état dépressif de la recourante a toujours été allégué en rapport avec des difficultés familiales et non en rapport avec un travail de deuil. Le fait que l'oncle de la recourante soit décédé ou alcoolique n'est donc pas pertinent dans la présente cause. Il est de même indifférent de savoir si les difficultés familiales proviennent d'abus sexuels ou d'autres formes de violences sur la personne de la fille de la recourante, ces deux situations étant pareillement propres à engendrer des problèmes familiaux. Il est vrai que tant le Docteur A________ que la Doctoresse B________ ont diagnostiqué un état dépressif. Toutefois, il a été rappelé que les déclarations du médecin traitant doivent être prises avec le recul nécessaire. Quant à la Doctoresse B________, elle avoue elle- même, dans sa réponse à la demande de rapport médical de l'OCAI, qu'elle n'a plus revu la recourante depuis la fin du premier semestre 2004 et ne peut donc juger de l'évolution de son état de santé. Plus de 3 ans se sont écoulés entre cette date et le rapport du Docteur G________. Il est incontestable que l'état psychiatrique de la recourante ait pu évoluer du tout au tout dans ce laps de temps. Par ailleurs, le seul fait d'être en désaccord sur le diagnostic n'est pas de nature à fonder un doute quant au caractère probant de l'expertise. Il n'y a donc aucun motif impératif de s'écarter de l'expertise fournie par le Docteur G________. En conséquence de quoi, le Tribunal de céans s'appuiera principalement sur l'expertise du Docteur G________, ainsi que sur l'examen du SMR Léman et de l'avis du Docteur A________, en tout cas en ce qui concerne l'aspect physique, dans</w:t>
      </w:r>
    </w:p>
    <w:p>
      <w:r>
        <w:t>A/522/2007 - 11/15 - la mesure où elle ne contredisent pas celle du Docteur G________, pour déterminer le caractère invalidant des troubles présentés par la recourante.</w:t>
      </w:r>
    </w:p>
    <w:p>
      <w:r>
        <w:rPr>
          <w:b/>
        </w:rPr>
        <w:t>E. 7</w:t>
      </w:r>
    </w:p>
    <w:p>
      <w:r>
        <w:t>La notion d'invalidité est, en principe, identique en matière d'assurance-accidents, d'assurance militaire et d'assurance-invalidité. Dans ces trois domaines, elle représente la diminution permanente ou de longue durée, résultant d'une atteinte à la santé, des possibilités de gain sur le marché du travail équilibré qui entrent en ligne de compte pour l'assuré (ATF 119 V 470 consid. 2b, 116 V 249 consid. 1b et les arrêts cités; ATFA non publiés du 16 juin 2005, I 425/04 et U 174/04). Une maladie, un accident ou une infirmité congénitale peuvent provoquer une atteinte à la santé à l'origine de l'invalidité (art. 4 al. 1 LAI).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Dans un arrêt du 8 février 2006 (ATF 132 V 65),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 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w:t>
      </w:r>
    </w:p>
    <w:p>
      <w:r>
        <w:t>A/522/2007 - 12/15 - Le TFA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131 V 50),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w:t>
      </w:r>
    </w:p>
    <w:p>
      <w:r>
        <w:t>A/522/2007 - 13/15 - pas remplis, ou du moins pas d'une manière suffisamment intense, pour conclure à une incapacité de travail (ATF 132 V 65 consid. 4.3).</w:t>
      </w:r>
    </w:p>
    <w:p>
      <w:r>
        <w:rPr>
          <w:b/>
        </w:rPr>
        <w:t>E. 8</w:t>
      </w:r>
    </w:p>
    <w:p>
      <w:r>
        <w:t>En l'espèce, le Docteur G________ pose le diagnostic de dysthymie, dysfonctionnement neurovégétatif somatoforme et neurasthénie, mais nie l'existence d'un syndrome somatoforme douloureux persistant. Le SMR Léman parle quant à lui de syndrome somatoforme douloureux persistant et le Docteur A________ de syndrome douloureux chronique et de fibromyalgie. Il est toutefois incontestable que la recourante est atteinte dans sa santé. Le trouble somatoforme douloureux, à supposer qu'il existe en l'espèce, se traite, d'un point de vue juridique, à l'égal de la fibromyalgie, dont le Tribunal fédéral des assurances a nié le caractère invalidant en elle-même. Il convient donc de vérifier la présence de facteurs aggravant empêchant la recourante de fournir l'effort de volonté que l'on peut attendre d'elle. Un état dépressif majeur et cristallisé a été formellement nié par le Docteur G________. La recourante ne souffre pas non plus d'une perte d'intégration sociale dans toutes les manifestations de la vie: elle a des contacts téléphoniques avec sa famille restée au Portugal et dit s'amuser à s'occuper de ses petits-enfants, ainsi qu'avoir une vraie amie. La dysthymie constatée tant par le Docteur G________ que par le SMR Léman, au demeurant sans influence sur la capacité de travail et de gain, n'est pas cristallisée, de sorte qu'une amélioration de l'état de la recourante est envisageable. Un traitement adéquat de ce problème n'est pas d'emblée voué à l'échec. A nouveau, il n'est pas remis en question que la recourante souffre de troubles médicaux. Toutefois, il n'apparaît à aucun moment que ceux-ci soient plus sévères, plus chroniques ou plus insupportables pour la recourante que pour d'autres personnes souffrant des mêmes maux. Au contraire, le Docteur G________ relève un décalage entre les plaintes de la recourante et ses constatations objectives. D'ailleurs, l'expert reconnait une pleine capacité de travail à la recourante, ce qui est admis par le médecin traitant sur le plan physique.</w:t>
      </w:r>
    </w:p>
    <w:p>
      <w:r>
        <w:rPr>
          <w:b/>
        </w:rPr>
        <w:t>E. 9</w:t>
      </w:r>
    </w:p>
    <w:p>
      <w:r>
        <w:t>En conséquence, le Tribunal de céans constate que la qualification des souffrances de la recourante en tant que syndrome somatoforme douloureux persistant ou chronique n'est pas définitivement établie. Quand bien même elle le serait, le syndrome ne serait pas invalidant au sens de la jurisprudence précitée, car non accompagné de facteurs aggravants. La décision de l'OCAI du 12 janvier 2007 doit être confirmée. Il n'est donc plus utile de se pencher plus avant sur la question du droit aux mesures de réadaptation professionnelle, car celles-ci sont réservées aux assurés invalides ou menacés d'invalidité (art. 8 al. 1 LAI), ce qui n'est pas le cas de la recourante.</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w:t>
      </w:r>
    </w:p>
    <w:p>
      <w:r>
        <w:t>A/522/2007 - 14/15 -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La recourante succombant dans ses conclusions, il convient de mettre à sa charge un émolument de 200 fr.</w:t>
      </w:r>
    </w:p>
    <w:p>
      <w:r>
        <w:t>A/522/2007 - 15/15 -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