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ATAS/1326/2014 vom 17. Dezember 2014</w:t>
      </w:r>
    </w:p>
    <w:p>
      <w:r>
        <w:t>GE Cour de justice, 2014-12-17, FR</w:t>
      </w:r>
    </w:p>
    <w:p>
      <w:r>
        <w:rPr>
          <w:b/>
        </w:rPr>
        <w:t xml:space="preserve">Quelle: </w:t>
      </w:r>
      <w:r>
        <w:t>https://mcp.opencaselaw.ch/entscheid/ge_gerichte_ATAS_1326_2014</w:t>
      </w:r>
    </w:p>
    <w:p>
      <w:r>
        <w:t>FR: GE_GERICHTE ATAS/1326/2014 du 17 décembre 2014</w:t>
      </w:r>
    </w:p>
    <w:p>
      <w:r>
        <w:t>IT: GE_GERICHTE ATAS/1326/2014 del 17 dicembre 2014</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56ss LPGA ; art. 89B de la loi sur la procédure administrative du 12 septembre 1985 [LPA ; RSG E 5 10]).</w:t>
      </w:r>
    </w:p>
    <w:p>
      <w:r>
        <w:rPr>
          <w:b/>
        </w:rPr>
        <w:t>E. 3</w:t>
      </w:r>
    </w:p>
    <w:p>
      <w:r>
        <w:t>Le litige porte sur le droit de la recourante à l’obtention d’une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A/3048/2014 - 8/12 -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a. En l’espèce, l’intimé a considéré, sur la base des rapports d’expertise du Dr E______ du 20 février 2012 et du CEMed du 23 octobre 2013, que la recourante ne pouvait plus exercer sa profession habituelle, mais présentait une pleine capacité de travail dans une activité adaptée. Il convient donc de se déterminer en premier lieu sur la valeur probante de ces documents.</w:t>
      </w:r>
    </w:p>
    <w:p>
      <w:r>
        <w:t>A/3048/2014 - 9/12 - b. Le rapport du Dr E______ a été établi en pleine connaissance du dossier, l’expert a tenu compte des plaintes de la recourante et procédé à des investigations poussées, lesquelles ont permis de confirmer le diagnostic d’apnées du sommeil posé par la Dresse C______ (rapports des 7 juillet 2010 et 3 février 2011). S’il a relevé que ses examens avaient mis en évidence un temps de sommeil total de quatre heures, il a également exposé que le test du maintien de l’éveil était normal et que le sommeil perturbé n’avait pas d’influence sur la vigilance de la recourante pendant la journée. Il a donc conclu que les diagnostics d’insomnie et de syndrome d’apnées du sommeil ne justifiaient aucune incapacité de travail. De l'expertise du CEMed résulte à cet égard que la recourante se couche vers 23h et qu'elle met environ une heure pour s'endormir. Vers 3h du matin, elle se réveille, se lève, s'occupe de ses chats et lit, puis se recouche pour se réveiller vers 9h. Pendant la journée, elle aime lire et regarder la télévision. Il n'est pas rapporté qu'elle fait une sieste en raison de sa fatigue constante ou qu'elle s'endort devant la télévision. Ces constatations corroborent les conclusions du Dr E______, selon lesquelles le syndrome d'apnées du sommeil n'a pas une répercussion sur la vigilance et, partant, sur la capacité de travail. Une pleine valeur probante peut ainsi être attribuée à cette expertise. c. Concernant le rapport pluridisciplinaire du CEMed, la chambre de céans rappellera qu’il est également basé sur le dossier de l'intimé, une anamnèse détaillée, ainsi que des examens complets et une étude approfondie du dossier. Les experts concluent que la capacité de travail de la recourante est nulle dans l’activité habituelle depuis la chute accidentelle de 2008, mais entière dans une activité adaptée, et ce dès neuf mois après le sinistre. Selon eux, seules les dorsalgies persistantes après la fracture-tassement de D7 et l’arthrose acromio- claviculaire droite entraînent des répercussions sur la capacité de travail. Le syndrome du tunnel carpien droit, le trouble panique, le trouble de l’adaptation et l’insomnie non organique n’ont aucun effet sur ladite capacité. La chambre de céans observe que, bien que les experts n’aient pas mentionné le diagnostic d’apnées du sommeil, il ressort clairement de leur rapport qu’ils ont admis l’existence de ce trouble et en ont dûment tenu compte, mentionnant à plusieurs reprises que la recourante « présente un syndrome d’apnées du sommeil » (par ex : rapport p. 5). Dans ces conditions, l’omission de cette affection parmi les diagnostics est sans conséquence, ce d’autant plus qu’il ne justifie aucune incapacité de travail selon le Dr E______. Concernant les limitations fonctionnelles, les experts ont notamment indiqué que la recourante ne supporte plus les « positions statiques prolongées » (rapport p. 14 et 16) tout en retenant qu’une « activité légère en position assise sans obligation de cadence (…) ou d’élévation des membres supérieurs » serait parfaitement possible (rapport p. 14). Si de telles conclusions peuvent paraître de prime abord contradictoires, la chambre de céans considère qu’il ne s’agit en réalité que d’une</w:t>
      </w:r>
    </w:p>
    <w:p>
      <w:r>
        <w:t>A/3048/2014 - 10/12 - simple imprécision et que les experts ont estimé que la recourante peut travailler en position assise, de façon non statique, c’est-à-dire en alternant les positions assise et debout, pour autant que les autres restrictions soient respectées. Aucune pièce médicale produite dans le cadre de la présente procédure ne permet de douter du bien-fondé des conclusions de ce rapport. En effet, la Dresse C______ ne s’est prononcée ni sur la capacité de travail de la recourante ni sur les limitations fonctionnelles. Quant au Dr D______, il a certes considéré que les troubles psychiques avaient une influence sur la capacité de travail de sa patiente, mais cet avis n’émane pas d’un spécialiste. Enfin, la divergence d’appréciation quant à la capacité de travail de la recourante, estimée par le Dr D______ à 20% dans un travail adapté (rapport du 7 décembre 2012), n’est pas de nature à remettre en cause les résultats des experts, dans la mesure où le médecin traitant n'a pas fait état d'éléments qui ont été ignorés dans le cadre des expertises. La recourante, reproche aux experts de ne pas avoir pris suffisamment en considération l’interaction de ses différentes pathologies. Or, c’est précisément pour éviter un tel manquement que l’intimé a mis en œuvre une expertise pluridisciplinaire. Dans ce cadre, l’état de santé global de la recourante a été évalué et les experts ont rendu leur rapport après une analyse consensuelle. A cet égard, il convient de relever qu'il est expressément mentionné à la p. 2 du rapport du CEMed que les experts établissent conjointement le rapport après discussion interdisciplinaire, Au vu de ce qui précède, les conclusions du rapport du CEMed, sous réserve de la définition de l’activité adaptée, sont convaincantes et remplissent les réquisits jurisprudentiels pour se voir reconnaître une pleine valeur probante. Partant, la chambre de céans admet que la recourante pourrait travailler à 50%, soit au taux d'occupation antérieure, dans une activité adaptée.</w:t>
      </w:r>
    </w:p>
    <w:p>
      <w:r>
        <w:rPr>
          <w:b/>
        </w:rPr>
        <w:t>E. 7</w:t>
      </w:r>
    </w:p>
    <w:p>
      <w:r>
        <w:t>Reste à définir quelles activités sont compatibles avec les limitations fonctionnelles de la recourante. a. L’administration doit en principe indiquer quelles sont les possibilités de travail concrètes qui entrent en considération, en fonction des limitations de l’assuré (arrêt du Tribunal fédéral I 588/05 du 27 avril 2006 consid. 3; ATF 107 V 20 consid. 2b = RCC 1982 p. 34). En outre,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p. 20; SVR 2006 IV n° 10 p. 39). b. En l'espèce, les restrictions de la recourante sont nombreuses. Non seulement le port de charges est limité à 3-4 kg pour les gestes répétitifs et à 15 kg pour les efforts occasionnels, mais elle ne peut pas non plus exercer un travail nécessitant</w:t>
      </w:r>
    </w:p>
    <w:p>
      <w:r>
        <w:t>A/3048/2014 - 11/12 - l’élévation et l’adduction des bras ou encore des mouvements répétitifs du tronc. De surcroît, les positions statiques prolongées et la marche ne sont plus possibles. Or, l'intimé n'a à aucun moment précisé quelles activités professionnelles la recourante pourrait encore exercer et la réponse à cette question ne paraît de loin pas évidente, d'autant moins que la recourante présente rien que dans son ménage déjà des empêchements de 41%, selon l'enquête ménagère. Dans ces conditions, la simple mention, à titre de travail adapté, d'une activité physiquement légère est insuffisante. Il convient ainsi de constater que l'instruction est incomplète, de sorte que la cause sera renvoyée à l'intimé pour établir quelles activités adaptées entrent en ligne de compte. Dans la mesure où les limitations sont nombreuses, il lui appartiendra le cas échéant de compléter l'instruction par une observation professionnelle. La recourante n'étant plus capable de travailler dans les anciennes professions exercées, l'intimé devra aussi examiner éventuellement, si elle peut prétendre à une orientation professionnelle.</w:t>
      </w:r>
    </w:p>
    <w:p>
      <w:r>
        <w:rPr>
          <w:b/>
        </w:rPr>
        <w:t>E. 8</w:t>
      </w:r>
    </w:p>
    <w:p>
      <w:r>
        <w:t>Partant, le recours sera partiellement admis, la décision annulée et la cause renvoyée à l’intimé pour instruction complémentaire et nouvelle décision.</w:t>
      </w:r>
    </w:p>
    <w:p>
      <w:r>
        <w:rPr>
          <w:b/>
        </w:rPr>
        <w:t>E. 9</w:t>
      </w:r>
    </w:p>
    <w:p>
      <w:r>
        <w:t>La recourante obtenant partiellement gain de cause, une indemnité de CHF 1'500.- lui est octroyée à titre de dépens.</w:t>
      </w:r>
    </w:p>
    <w:p>
      <w:r>
        <w:rPr>
          <w:b/>
        </w:rPr>
        <w:t>E. 10</w:t>
      </w:r>
    </w:p>
    <w:p>
      <w:r>
        <w:t>Au vu de l’issue de la procédure, un émolument de justice de CHF 200.- sera mis à la charge de l’intimé.</w:t>
      </w:r>
    </w:p>
    <w:p>
      <w:r>
        <w:t>A/3048/2014 - 12/12 -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