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ATAS/1325/2012 vom 5. November 2012</w:t>
      </w:r>
    </w:p>
    <w:p>
      <w:r>
        <w:t>GE Cour de justice, 2012-11-05, FR</w:t>
      </w:r>
    </w:p>
    <w:p>
      <w:r>
        <w:rPr>
          <w:b/>
        </w:rPr>
        <w:t xml:space="preserve">Quelle: </w:t>
      </w:r>
      <w:r>
        <w:t>https://mcp.opencaselaw.ch/entscheid/ge_gerichte_ATAS_1325_2012</w:t>
      </w:r>
    </w:p>
    <w:p>
      <w:r>
        <w:t>FR: GE_GERICHTE ATAS/1325/2012 du 5 novembre 2012</w:t>
      </w:r>
    </w:p>
    <w:p>
      <w:r>
        <w:t>IT: GE_GERICHTE ATAS/1325/2012 del 5 novembre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A/3877/2011 - 8/19 -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En l'espèce, la décision litigieuse, du 14 octobre 2011,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 Cela étant, ces novelles n'ont pas amené de modifications substantielles en matière d'évaluation de l'invalidité (ATFA non publié I 249/05 du 11 juillet 2006, consid.</w:t>
      </w:r>
    </w:p>
    <w:p>
      <w:r>
        <w:rPr>
          <w:b/>
        </w:rPr>
        <w:t>E. 2.1</w:t>
      </w:r>
    </w:p>
    <w:p>
      <w:r>
        <w:t>et Message concernant la modification de la loi fédérale sur l'assurance- invalidité du 22 juin 2005, FF 2005 p. 4322).</w:t>
      </w:r>
    </w:p>
    <w:p>
      <w:r>
        <w:rPr>
          <w:b/>
        </w:rPr>
        <w:t>E. 3</w:t>
      </w:r>
    </w:p>
    <w:p>
      <w:r>
        <w:t>Le délai de recours est de 30 jours (art. 60 al. 1 LPGA). Interjeté dans la forme et le délai prévus par la loi, le recours est recevable, en vertu des art. 56ss LPGA.</w:t>
      </w:r>
    </w:p>
    <w:p>
      <w:r>
        <w:rPr>
          <w:b/>
        </w:rPr>
        <w:t>E. 4</w:t>
      </w:r>
    </w:p>
    <w:p>
      <w:r>
        <w:t>L’objet du litige porte sur la question de savoir si c’est à juste titre que l’intimé a limité le droit du recourant à une rente du 1er mars 2006 au 30 juin 2010 et a refusé le droit à des mesures d’ordre professionnel. S’agissant de la rente, on précisera que si la motivation de la décision indique que c’est à compter du 1er avril 2010 que le versement de la rente entière est supprimé, il n’en demeure pas moins que celle-ci a été versée jusqu’au 30 juin 2010, selon le décompte figurant en page 2 de la décision litigieuse.</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VSI 2001 p. 157 consid. 2), respectivement. Tout changement important des circonstances propre à influencer le degré d'invalidité, et donc le droit à la rente, peut motiver une révision selon l'article 17 LPGA. (). Le point de savoir si un tel changement s'est produit doit être tranché en comparant les faits tels qu'ils se présentaient au moment de la décision initiale de rente et les circonstances régnant à l'époque de la décision litigieuse (ATF 130 V 351 consid.</w:t>
      </w:r>
    </w:p>
    <w:p>
      <w:r>
        <w:t>A/3877/2011 - 9/19 - 3.5.2 ; 125 V 369 consid. 2 et la référence; voir également ATF 112 V 372 consid. 2b et 390 consid. 1b). Selon la jurisprudence, aussi bien dans le cadre d'une nouvelle demande au sens de l'art. 87 al. 3 RAI (ATF 130 V 71)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113 V 273 consid. 1a ; ATF non publié 9C_1006/2010 du 22 mars 2011, consid 2.2).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A/3877/2011 - 10/19 -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w:t>
      </w:r>
    </w:p>
    <w:p>
      <w:r>
        <w:t>A/3877/2011 - 11/19 -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l’occurrence, la décision de l’intimé est principalement basée sur l’expertise rhumatologique diligentée par le Dr E__________ en date du 29 avril 2010. Celui-ci a, en substance, exposé que le recourant présentait des omalgies bilatérales chroniques (status après déchirure de la coiffe des rotateurs droite et gauche, status après suture de la coiffe des rotateurs et probable acromioplastie de l’épaule gauche le 7 juillet 2008, status après suture de la coiffe des rotateurs, probable acromioplastie droite le 22 décembre 2009 ainsi qu’un conflit sous-acromial bilatéral persistant). En raison de ces atteintes, le recourant présentait des limitations dans la capacité de porter et de soulever des charges de plus de 5 kg principalement en levant les deux bras, des limitations dans la capacité de faire des mouvements d’abduction des membres supérieurs au-dessus de 70° et lors des mouvements d’élévation antérieure (anteflexion) des membres supérieurs au-dessus de 70° et des limitations dans la capacité de faire des mouvements de rotations des deux épaules. S’agissant de la capacité de travail, l’expert a estimé qu’elle était nulle dans l’activité habituelle de monteur-électricien depuis le 24 mars 2005 en raison de son atteinte au niveau des deux épaules, avec notamment une atteinte de la coiffe des rotateurs des deux côtés. Dans une activité adaptée à ses limitations fonctionnelles, la capacité de travail exigible était de 70% compte tenu d’une baisse de rendement. Il convient de constater que le rapport du Dr E_________ se base sur des examens du recourant et sur son dossier médical. L’anamnèse est complète et les plaintes ont été prises en considération. La description et l’appréciation de la situation médicale sont claires. L’expert s’est exprimé sur l'évolution de l'état de santé du recourant, sur sa capacité de travail et sur ses limitations fonctionnelles. Ses conclusions sont cohérentes et convaincantes. Il s’ensuit que son rapport remplit en tous points les réquisits jurisprudentiels pour que lui soit accordée une pleine valeur probante. On relèvera par ailleurs qu’aucune pièce médicale versée au dossier ne permet de remettre en cause les conclusions de l’expert. Les rapports des Drs A__________, B__________ et C_________, qui ont été dûment pris en considération par le Dr E_________, ne font pas état de diagnostics qui n’auraient pas été retenus par ce dernier. Par ailleurs, les médecins traitants ne se sont pas prononcés sur la capacité de travail résiduelle du recourant. Enfin, les conclusions de l’expert et de la Dresse D_________ quant à une incapacité de travail totale dans l'activité habituelle sont</w:t>
      </w:r>
    </w:p>
    <w:p>
      <w:r>
        <w:t>A/3877/2011 - 12/19 - favorables au recourant, dès lors que le Dr C_________ a estimé que cette capacité de travail était de 50% dès le 25 août 2009 (rapport du 22 décembre 2009). S’agissant des limitations fonctionnelles, le recourant fait valoir qu’elles seraient supérieures à celles retenues par l’expert et conclut à ce que les Drs C_________ et F_________ soient entendus à ce propos. Or, force est de constater que le recourant ne produit aucune pièce permettant de mettre en doute les conclusions de l’expert sur ce point. Qui plus est, les limitations fonctionnelles retenues par l’expert sont plus nombreuses que celles retenues par le Dr C_________, celui-ci faisant état uniquement d’une impossibilité pour le recourant de travailler avec les bras au- dessus de la tête (rapport du 22 septembre 2008). Compte tenu de ce qui précède, l’audition des Drs C_________ et F_________, demandée par le recourant, n'apporterait selon toute vraisemblance aucune constatation nouvelle, mais uniquement une appréciation médicale supplémentaire sur la base d'observations identiques à celles des médecins déjà consultés. Il apparaît dès lors superflu d'administrer d'autres preuves et la conclusion subsidiaire du recourant doit être rejetée (sur l'appréciation anticipée des preuves; cf. ATF 122 II 469 consid. 4a; 122 III 223 consid. 3c; 120 Ib 229 consid. 2b; 119 V 344 consid. 3c). Il y a donc lieu de retenir qu’en raison des troubles somatiques, le recourant présente une capacité de travail nulle dans son activité habituelle dès le 24 mars 2005. Dans une activité adaptée à ses limitations fonctionnelles, sa capacité de travail est de 70% compte tenu d’une baisse de rendement. Si l’expert ne se prononce certes pas sur la date à partir de laquelle l’exercice d’une activité adaptée serait exigible de la part du recourant, il n’en demeure pas moins que l’on ne saurait s’écarter de celle retenue par la Dresse D_________, à savoir avril 2010, soit quatre mois après la dernière intervention pratiquée au niveau de l’épaule droite (avis du 29 novembre 2010). Au demeurant, ce point n’est pas contesté par le recourant. Reste encore à examiner le degré d’invalidité que présente le recourant.</w:t>
      </w:r>
    </w:p>
    <w:p>
      <w:r>
        <w:rPr>
          <w:b/>
        </w:rPr>
        <w:t>E. 10</w:t>
      </w:r>
    </w:p>
    <w:p>
      <w:r>
        <w:t>a) En vertu de l’art. 29 al. 1 let. b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Selon l’art. 28 al. 1 LAI dans sa teneur en vigueur du 1er janvier 2004 au 31 décembre 2007 (art. 28 al. 2 LAI dès le 1er janvier 2008), l’assuré a droit à une rente entière s’il est invalide à 70% au moins, à un trois-quarts de rente s'il est invalide à 60% au moins, à une demi-rente s’il est invalide à 50% au moins, ou à un quart de rente s’il est invalide à 40% au moins.</w:t>
      </w:r>
    </w:p>
    <w:p>
      <w:r>
        <w:t>A/3877/2011 - 13/19 -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w:t>
      </w:r>
    </w:p>
    <w:p>
      <w:r>
        <w:t>A/3877/2011 - 14/19 -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11</w:t>
      </w:r>
    </w:p>
    <w:p>
      <w:r>
        <w:t>En l’occurrence, comme l’a retenu à juste titre l’intimé dans sa décision litigieuse, l’incapacité de travail totale dans toute activité correspond à une invalidité de 100% et donne droit à une rente entière d’invalidité, à compter du 1er mars 2006, soit à l’échéance d’une année d’attente à compter du 24 mars 2005. Reste donc à déterminer le degré d’invalidité que subit le recourant lorsque sa capacité de travail est de 70% dans une activité adaptée. a) S’agissant du revenu sans invalidité, l’intimé a estimé que l’on ne pouvait se baser sur le salaire que le recourant aurait obtenu en tant que monteur électricien, vu l’absence de données salariales concrètes, du fait qu’il n’avait jamais eu de</w:t>
      </w:r>
    </w:p>
    <w:p>
      <w:r>
        <w:t>A/3877/2011 - 15/19 - rapport de travail stable, ni d’une durée suffisante. Selon l’intimé, le recourant n’est pas au bénéfice d’une formation de monteur électricien certifiée et, au vu de ses CI, il n’a pas une solide expérience professionnelle. On ne saurait toutefois admettre le raisonnement de l’intimé, ce pour les motifs qui suivent. Si l’obtention d’un certificat de monteur électricien n’est certes pas attestée par pièce, il n’en demeure pas moins que les explications fournies par le recourant à cet égard ont toujours été constantes. Ainsi, sa demande de prestations du 28 novembre 2006 mentionnait déjà un apprentissage de monteur électricien effectué au Maroc de 1970 à 1973 avec l’obtention d’un certificat de capacité. Une attestation d’apprentissage établie le 10 juillet 1972 figure d’ailleurs au dossier (pièce 13 page 1 chargé intimé). De surcroît, le recourant a également fait état de cette formation à l’expert ainsi que de l’exercice de ce métier au Maroc, en France et en Suisse (rapport d’expertise, page 1). S’agissant de l’expérience professionnelle du recourant en tant que monteur électricien, s’il est vrai que les mentions aux CI ne permettent pas de retenir des relations de travail stables et de longue durée, cette seule circonstance ne suffit toutefois pas pour mettre en doute l’exercice de cette profession. Il ressort du curriculum vitae transmis par le recourant à l’intimé en 2006 - soit bien avant que ce dernier ne remette en question l’exercice de cette activité professionnelle - que le recourant a travaillé pour BADEL S.A. de 1982 à 1984, société spécialisée dans les installations électriques (selon l’extrait du Registre du commerce du canton de Genève). De 1984 à 2004, le recourant a travaillé pour des sociétés actives dans le domaine du placement de personnel temporaire, ce qui pourrait expliquer la courte durée de ses relations de travail. De surcroît, un de ses employeurs à Genève, Y__________ S.A., a établi un certificat d’efficacité professionnelle le 19 décembre 1987 reconnaissant les qualités professionnelles du recourant en tant que monteur électricien qualifié. Qui plus est, en juillet 2002, le recourant a été victime d’un accident alors qu’il travaillait en tant que monteur électricien (décision sur opposition de la SUVA du</w:t>
      </w:r>
    </w:p>
    <w:p>
      <w:r>
        <w:rPr>
          <w:b/>
        </w:rPr>
        <w:t>E. 12</w:t>
      </w:r>
    </w:p>
    <w:p>
      <w:r>
        <w:t>Reste encore à se prononcer sur une éventuelle mesure d’ordre professionnel.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w:t>
      </w:r>
    </w:p>
    <w:p>
      <w:r>
        <w:t>A/3877/2011 - 18/19 - capacité de gain peut ainsi, selon toute vraisemblance, être sauvegardée ou améliorée de manière notable (ATF 124 V 108 consid. 2a; VSI 1997 p. 85 consid. 1).</w:t>
      </w:r>
    </w:p>
    <w:p>
      <w:r>
        <w:rPr>
          <w:b/>
        </w:rPr>
        <w:t>E. 13</w:t>
      </w:r>
    </w:p>
    <w:p>
      <w:r>
        <w:t>En l’occurrence, la décision litigieuse indique uniquement que sur demande écrite et motivée du recourant, l’intimé étudiera la possibilité de mettre en œuvre une aide au placement. Force est de constater que dans le cadre de l’instruction du dossier, le recourant n’a jamais été reçu par le Service de réadaptation de l’intimé. Or, on relèvera que la demande de prestations déposée par le recourant tendait à l’octroi de mesures d’orientation professionnelle, que l’expert a estimé que des mesures de réadaptation professionnelle étaient envisageables - le recourant s’exprimant couramment en langue française, arabe et espagnole et paraissant relativement motivé quant à suivre de telles mesures - (rapport d’expertise p. 11), et que la Dresse D__________ a estimé que le dossier du recourant devait être transmis à un spécialiste de la réadaptation (avis du 29 novembre 2010). Ainsi, attendu que l’instruction du dossier par l’intimé n’a pas porté sur la question d’une mesure d’ordre professionnel, il y a lieu de lui renvoyer la cause pour qu’il instruise les conditions objectives et subjectives d’une telle mesure et qu’il rende une nouvelle décision. Le recours sera donc partiellement admis et la décision litigieuse annulée en tant qu’elle limite le droit à la rente au 30 juin 2010 et refuse le droit à des mesures professionnelles. Il sera dit que le recourant a droit à une rente entière du 1er mars 2006 au 31 juillet 2010, puis à un quart de rente et que l’intimé doit instruire la question des mesures d’ordre professionnel avant de rendre une nouvelle décision.</w:t>
      </w:r>
    </w:p>
    <w:p>
      <w:r>
        <w:rPr>
          <w:b/>
        </w:rPr>
        <w:t>E. 14</w:t>
      </w:r>
    </w:p>
    <w:p>
      <w:r>
        <w:t>Le recourant, représenté par un conseil, obtenant partiellement gain de cause, une indemnité de 1’500 fr. lui est accordée à titre de dépens (art. 61 let. g LPGA). La procédure de recours en matière de contestations portant sur l’octroi ou le refus de prestations de l’assurance-invalidité étant soumise à des frais de justice (art. 69 al. 1bis LAI), un émolument de 200 fr. sera mis à la charge de l’intimé.</w:t>
      </w:r>
    </w:p>
    <w:p>
      <w:r>
        <w:t>A/3877/2011 - 19/19 -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