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ATAS/1324/2014 vom 18. Dezember 2014</w:t>
      </w:r>
    </w:p>
    <w:p>
      <w:r>
        <w:t>GE Cour de justice, 2014-12-18, FR</w:t>
      </w:r>
    </w:p>
    <w:p>
      <w:r>
        <w:rPr>
          <w:b/>
        </w:rPr>
        <w:t xml:space="preserve">Quelle: </w:t>
      </w:r>
      <w:r>
        <w:t>https://mcp.opencaselaw.ch/entscheid/ge_gerichte_ATAS_1324_2014</w:t>
      </w:r>
    </w:p>
    <w:p>
      <w:r>
        <w:t>FR: GE_GERICHTE ATAS/1324/2014 du 18 décembre 2014</w:t>
      </w:r>
    </w:p>
    <w:p>
      <w:r>
        <w:t>IT: GE_GERICHTE ATAS/1324/2014 del 18 dicembre 2014</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de la recourante à une rente d’invalidité, plus particulièrement sur la question de savoir si son état de santé s’est aggravé au point d’influencer son droit aux prestations.</w:t>
      </w:r>
    </w:p>
    <w:p>
      <w:r>
        <w:t>A/561/2014 - 13/23 -</w:t>
      </w:r>
    </w:p>
    <w:p>
      <w:r>
        <w:rPr>
          <w:b/>
        </w:rPr>
        <w:t>E. 6</w:t>
      </w:r>
    </w:p>
    <w:p>
      <w:r>
        <w:t>La recourante invoque, tout d’abord, une violation de son droit d’être entendue dans la mesure où la décision querellée est, selon elle, incompréhensible. Ce grief, de nature formelle, doit être examiné en premier lieu (ATF 127 V 431 consid. 3d/aa, 124 V 90 consid. 2 notamment). a. La jurisprudence a déduit du droit d'être entendu (art. 29 al. 2 de la Constitution fédérale de la Confédération suisse du 18 avril 1999 [Cst. - RS 101])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 126 I 97 consid. 2b ; 125 III 440 consid. 2a). b. En l’espèce, la décision querellée est rédigée en trois parties. Dans un premier temps, l’OAI cite les bases légales applicables, y compris l’art. 53 al. 2 et 3 LPGA relatif à la reconsidération. Dans un deuxième temps, l’intimé résume le résultat de ses constatations antérieures à la soumission du projet de décision à la recourante. Enfin, dans une troisième partie, l’OAI précise le résultat de ses constatations « suite à audition », soit en d’autres termes, suite aux objections formulées par la recourante suite à son projet de décision. Dans le chapitre « résultat de nos constatations », l’OAI explique en substance que la décision initiale du 16 avril 2009, laquelle mettait l’assurée au bénéfice d’une rente limitée dans le temps, se fondait sur un rapport du SMR, faisant état d’une capacité de travail entière, avec une baisse de rendement de 20% dès mai 2008. L’intimé précise avoir constaté que cette évaluation ne concordait pas entièrement avec les conclusions des experts, qui attendaient une capacité de travail entière après traitement de l’affection médicale. Or, le complément d’instruction mis en œuvre dans le cadre de la nouvelle demande, avait démontré que l’amélioration attendue en 2007 par les experts ne s’était pas produite et que la capacité de travail de la recourante était depuis lors restée de 50% dans une activité adaptée. L’OAI en tire la conclusion que sa décision initiale, manifestement erronée, doit être reconsidérée. Après avoir précisé que le degré d’invalidité total est de 4% (2% dans</w:t>
      </w:r>
    </w:p>
    <w:p>
      <w:r>
        <w:t>A/561/2014 - 14/23 - le ménage et 2% dans le domaine professionnel), l’intimé rappelle qu’un degré d’invalidité inférieur à 40% n’ouvre pas droit à une rente d’invalidité et que le droit au reclassement n’est pas non plus ouvert, faute d’invalidité supérieure à 20%. Dans son chapitre « résultat de nos constatations suite à audition », l’OAI rappelle, à titre liminaire, que la recourante conteste la réalisation des conditions de la reconsidération. Après avoir relevé, d’une part, que l’assurée n’a pas recouru contre la décision du 16 avril 2009 lui octroyant une rente limitée dans le temps et, d’autre part, que l’administration peut reconsidérer une décision formellement passée en force chose jugée, à la condition qu’elle soit sans nul doute erronée et que sa modification revête une importance notable, l’intimé considère que, dans le cas présent, la condition de l’importance notable fait défaut puisque, malgré un réexamen du taux d’invalidité, les conditions permettant de reconnaître le droit à des prestations ne sont quoi qu’il en soit pas réunies. Si les explications données par l’OAI ne sont certes pas très claires, il n’en demeure pas moins que la combinaison des différents considérants et du dispositif de la décision querellée permet de comprendre que, quand bien même la décision initiale du 16 avril 2009 était manifestement erronée parce qu’elle partait de la présomption que l’assurée était totalement capable de travailler - ce qui était manifestement inexact -, la condition de l’importance notable n’était pas réalisée, le taux d’invalidité n’étant de toute manière pas suffisant pour ouvrir droit à une rente ou à des mesures de reclassement. Par conséquent, conformément à la jurisprudence susmentionnée, dès lors que la recourante a pu discerner les motifs ayant guidé la décision de l’OAI, le droit à une décision motivée est respecté. D’ailleurs, la recourante a pu faire valoir ses arguments s’agissant non seulement de la reconsidération mais également de la valeur probante du rapport du SMR, ce qui démontre qu’elle a compris les raisons qui ont amené l’OAI à rejeter la demande. Pour ces motifs, le grief de violation du droit d’être entendu doit être écarté.</w:t>
      </w:r>
    </w:p>
    <w:p>
      <w:r>
        <w:rPr>
          <w:b/>
        </w:rPr>
        <w:t>E. 7</w:t>
      </w:r>
    </w:p>
    <w:p>
      <w:r>
        <w:t>Reste à examiner le droit à une rente d’invalidité.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w:t>
      </w:r>
    </w:p>
    <w:p>
      <w:r>
        <w:t>A/561/2014 - 15/23 -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b. Lorsqu’une nouvelle demande est déposée, celle-ci doit établir de façon plausible que l’invalidité, l’impotence ou l’étendue du besoin de soins découlant de l’invalidité de l’assuré s’est modifiée de manière à influencer ses droits (art.87 al.2 et 3 RAI). En cas d’entrée en matière sur une nouvelle demande après un refus de prestations (art. 87 al. 4 RAI), l'administration doit instruire la cause et déterminer si la situation de fait s'est modifiée de manière à influencer les droits de l'assuré. En cas de recours, le juge est tenu d'effectuer le même examen quant au fond. Par analogie avec le cas de la révision au sens de l'art. 17 LPGA, pour déterminer si la modification des faits (relatifs à l'état de santé ou la situation économique) suffit à admettre le droit à la prestation litigieuse, il y a lieu de comparer les faits tels qu'ils se présentaient au moment de la décision de refus de prestations et les circonstances existant au moment du prononcé de la nouvelle décision (ATF 130 V 343 consid. 3.5, voir également arrêt du Tribunal fédéral 9C 1012/2008 du 30 juin 2009 consid. 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w:t>
      </w:r>
    </w:p>
    <w:p>
      <w:r>
        <w:rPr>
          <w:b/>
        </w:rPr>
        <w:t>E. 8</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w:t>
      </w:r>
    </w:p>
    <w:p>
      <w:r>
        <w:t>A/561/2014 - 16/23 -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pourcents entre ces deux valeurs (ATF 104 V 136 consid. 2a; RCC 1992 p. 136 consid. 1b). La part des travaux habituels constitue le reste du pourcentage (ATF 130 V 393 consid. 3.3 et ATF 104 V 136 consid. 2a).</w:t>
      </w:r>
    </w:p>
    <w:p>
      <w:r>
        <w:rPr>
          <w:b/>
        </w:rPr>
        <w:t>E. 9</w:t>
      </w:r>
    </w:p>
    <w:p>
      <w:r>
        <w:t>S’agissant du taux d’invalidité retenu par l’OAI, la recourante conteste en premier lieu l’appréciation de sa capacité de travail par les médecins du SMR et, dans ce contexte, la valeur probante de leur rapport. a. Pour pouvoir calculer le degré d’invalidité s’agissant de l’activité lucrative,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(arrêt du Tribunal fédéral des assurances I 421/06 du 6 novembre 2007 consid. 3.1; arrêt du Tribunal fédéral des assurances I 382/00 du 9 octobre 2001 consid. 2b).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 c. La jurisprudence a dégagé au cours de ces dernières années un certain nombre de principes et de critères normatifs pour permettre d'apprécier - sur les plans médical</w:t>
      </w:r>
    </w:p>
    <w:p>
      <w:r>
        <w:t>A/561/2014 - 17/23 - et juridique - le caractère invalidant de syndromes sans pathogenèse ni étiologie claires et sans constat de déficit organique. Selon la jurisprudence, de tels syndromes n'entraînent pas, en règle générale, une limitation de longue durée de la capacité de travail pouvant conduire à une invalidité (ATF 130 V 352 consid. 2.2.3 p. 354). Il existe une présomption que ces syndromes ou leurs effets peuvent être surmontés par un effort de volonté raisonnablement exigible (ATF 131 V 49 consid. 1.2). Le Tribunal fédéral a toutefois reconnu qu'il existe des facteurs déterminés qui, par leur intensité et leur constance, rendent la personne incapable de fournir cet effort de volonté, et a établi des critères permettant d'apprécier le caractère invalidant de ces syndromes (ATF 130 V 352 consid. 2.2.3 et 131 V 49 consid. 1.2). A cet égard,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d.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mentionnés au considérant 6b) ci-dessus - lui permettent de surmonter ses douleurs. Il s'agit pour lui d'établir de manière objective si, compte tenu de sa constitution psychique, l'assuré peut exercer une activité sur le marché du travail, malgré les douleurs qu'il ressent (ATF 130 V 352, consid. 2.2.4. et les arrêts cités).</w:t>
      </w:r>
    </w:p>
    <w:p>
      <w:r>
        <w:rPr>
          <w:b/>
        </w:rPr>
        <w:t>E. 10</w:t>
      </w:r>
    </w:p>
    <w:p>
      <w:r>
        <w:t>Selon le principe de libre appréciation des preuves, pleinement valable en procédure judiciaire de recours dans le domaine des assurances sociales (cf. art. 61</w:t>
      </w:r>
    </w:p>
    <w:p>
      <w:r>
        <w:t>A/561/2014 - 18/23 -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11</w:t>
      </w:r>
    </w:p>
    <w:p>
      <w:r>
        <w:t>En l’espèce, pour évaluer l’invalidité de la recourante pour la part relative à l’activité lucrative, l'intimé s'est basé sur le rapport d’examen bidisciplinaire du</w:t>
      </w:r>
    </w:p>
    <w:p>
      <w:r>
        <w:rPr>
          <w:b/>
        </w:rPr>
        <w:t>E. 12</w:t>
      </w:r>
    </w:p>
    <w:p>
      <w:r>
        <w:t>Quand bien même la recourante ne conteste pas l’enquête ménagère, il y a lieu d’examiner celle-ci, étant donné que l’intéressée conclut à l’octroi d’une rente d’invalidité entière, ce qui implique une appréciation différente de ses empêchements dans le ménage.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ainsi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w:t>
      </w:r>
    </w:p>
    <w:p>
      <w:r>
        <w:t>A/561/2014 - 20/23 - b. Lorsqu’il s'agit d'évaluer la capacité d'un assuré à accomplir des tâches ménagères, un empêchement ne peut être pris en compte que si ledit assuré ne parvient plus à exécuter la tâche en question et si cette tâche doit être confiée à des tiers rétribués ou à des proches qui enregistrent de ce fait une perte de gain ou pour lesquels cela représente une charge disproportionnée (arrêt du Tribunal fédéral des assurances I 518/2004 du 25 novembre 2005, consid. 4). Il convient donc d’examiner dans chaque cas si la personne est encore en mesure d’exécuter la tâche en question et, dans la négative, si une tierce personne rétribuée ou un de ses proches s’en occupe. c. Pour satisfaire à l'obligation de réduire le dommage (ATF 129 V 463 consid. 4.2 et 123 V 233 consid. 3c et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(arrêts du Tribunal fédéral des assurances I 308/04 et I 309/04 du 14 janvier 2005 et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d. En l’espèce, deux enquêtes ménagères ont été effectuées au domicile de la recourante. La première, réalisée en 2008, a conclu à un degré d’invalidité de 16%. La seconde, effectuée en 2013 selon une méthode de calcul différente, parvient à un degré d’invalidité de 2.8%. En comparant les deux enquêtes ménagères, la chambre de céans constate, s’agissant du degré d’invalidité dans les travaux habituels, une différence de 13.2% (16% - 2.8%) entre 2008 et 2013 : travaux pondération empêchement invalidité 2008 2013 2008 2013 2008 2013</w:t>
      </w:r>
    </w:p>
    <w:p>
      <w:r>
        <w:t>A/561/2014 - 21/23 - conduite du ménage 5% 5% 0% 0% 0% 0% alimentation 40% 45% 5% 0% 2% 0% entretien du logement 20% 20% 40% 5% 8% 1% emplettes et courses diverses 10% 10% 0% 0% 0% 0% lessive et entretien des vêtements 20% 20% 30% 9% 6% 1.8% soins aux enfants 5% 0% 0% 0% 0% 0% total 100% 100%</w:t>
      </w:r>
    </w:p>
    <w:p>
      <w:r>
        <w:t>16% 2.8% En examinant en détail les deux enquêtes, la chambre de céans constate que la situation n’a pourtant guère évolué : la description des empêchements est très similaire dans les deux cas, tout comme la composition de la cellule familiale, formée de l’époux de la recourante, au bénéfice d’une demi-rente d’invalidité, et de leur dernier enfant, O_____, étudiante, laquelle ne rentrait pas tous les jours à la maison. Les autres enfants habitaient à proximité et venaient régulièrement aider leur mère. En réalité, la seule modification concerne l’appréciation de l’exigibilité de la famille, s’agissant des postes « entretien du logement » et « lessive et entretien des vêtements » ; en d’autres termes, il y a simplement eu appréciation différente d’un même état de fait, ce qui n’est pas admissible. Dans ces circonstances, l’enquête ménagère réalisée en 2013 doit se voir nier toute valeur probante. Il y a lieu de retenir les chiffres de 2008 et, par conséquent, une invalidité de 16% dans la sphère ménagère.</w:t>
      </w:r>
    </w:p>
    <w:p>
      <w:r>
        <w:rPr>
          <w:b/>
        </w:rPr>
        <w:t>E. 13</w:t>
      </w:r>
    </w:p>
    <w:p>
      <w:r>
        <w:t>a. Enfin, s’agissant du taux d’invalidité globale, il est calculé d’après le temps consacré aux deux champs d’activité et se détermine à l’aide de la formule suivante (voir notamment l’arrêt du Tribunal fédéral 9C_790/2010 du 8 juillet 2011 consid. 7.1) : [% part lucrative x % invalidité] + [% part ménagère x % invalidité]. b. En l’espèce, dans la mesure où la recourante n’a contesté ni le revenu annuel brut sans invalidité, réactualisé, ni le revenu annuel brut avec invalidité, il n’y a pas lieu de s’écarter de la détermination du degré d’invalidité telle qu’effectuée par l’intimé et de retenir un taux d’invalidité dans l’activité lucrative de 3.3%, arrondi à 3%. Comme indiqué précédemment, l’invalidité dans la sphère ménagère est de 16%. En appliquant la formule précitée, l’invalidité globale de la recourante s’élève à 10.15% ([45 % h x 3%] + [55% x 16%]), ce qui est insuffisant pour ouvrir le droit à une rente. Dans ce contexte, la chambre de céans relèvera encore que, dans la mesure où le degré d’invalidité de la recourante est insuffisant pour lui ouvrir le droit à une rente d’invalidité, la question de savoir si la nouvelle demande devait être traitée comme</w:t>
      </w:r>
    </w:p>
    <w:p>
      <w:r>
        <w:t>A/561/2014 - 22/23 - une demande de reconsidération (comme cela semble avoir été le cas dans la décision querellée), ou comme une nouvelle demande stricto sensu (comme semble le considérer ce même office dans sa réponse au recours) peut en l’état rester ouverte.</w:t>
      </w:r>
    </w:p>
    <w:p>
      <w:r>
        <w:rPr>
          <w:b/>
        </w:rPr>
        <w:t>E. 14</w:t>
      </w:r>
    </w:p>
    <w:p>
      <w:r>
        <w:t>Au vu de ce qui précède, le recours sera rejeté. La procédure n'étant pas gratuite (art. 69 al. 1bis LAI), il y a lieu de condamner la recourante au paiement d'un émolument de CHF 200.-.</w:t>
      </w:r>
    </w:p>
    <w:p>
      <w:r>
        <w:t>A/561/2014 - 23/23 -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