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ATAS/1323/2014 vom 18. Dezember 2014</w:t>
      </w:r>
    </w:p>
    <w:p>
      <w:r>
        <w:t>GE Cour de justice, 2014-12-18, FR</w:t>
      </w:r>
    </w:p>
    <w:p>
      <w:r>
        <w:rPr>
          <w:b/>
        </w:rPr>
        <w:t xml:space="preserve">Quelle: </w:t>
      </w:r>
      <w:r>
        <w:t>https://mcp.opencaselaw.ch/entscheid/ge_gerichte_ATAS_1323_2014</w:t>
      </w:r>
    </w:p>
    <w:p>
      <w:r>
        <w:t>FR: GE_GERICHTE ATAS/1323/2014 du 18 décembre 2014</w:t>
      </w:r>
    </w:p>
    <w:p>
      <w:r>
        <w:t>IT: GE_GERICHTE ATAS/1323/2014 del 18 dicembre 2014</w:t>
      </w:r>
    </w:p>
    <w:p>
      <w:pPr>
        <w:pStyle w:val="Heading2"/>
      </w:pPr>
      <w:r>
        <w:t>Erwägungen</w:t>
      </w:r>
    </w:p>
    <w:p>
      <w:r>
        <w:rPr>
          <w:b/>
        </w:rPr>
        <w:t>E. 26</w:t>
      </w:r>
    </w:p>
    <w:p>
      <w:r>
        <w:t>Dans sa réponse du 13 février 2014, l’intimé a conclu au rejet du recours. L’intimé soutient que le recourant n’amène aucun élément objectivement vérifiable susceptible de remettre en cause les conclusions de l’expertise et qu’il convient dès lors de se référer à ses conclusions, selon lesquelles la capacité de travail du recou- rant est de 0% dans l’activité de carreleur, de 50% dans l’activité de carreleur telles</w:t>
      </w:r>
    </w:p>
    <w:p>
      <w:r>
        <w:t>A/4011/2013 - 8/17 - qu’aménagée par son employeur et de 100% dans une activité adaptée aux limita- tions fonctionnelles.</w:t>
      </w:r>
    </w:p>
    <w:p>
      <w:r>
        <w:rPr>
          <w:b/>
        </w:rPr>
        <w:t>E. 27</w:t>
      </w:r>
    </w:p>
    <w:p>
      <w:r>
        <w:t>Dans ses observations du 3 mars 2014, le recourant a persisté dans ses conclusions, en renonçant toutefois à demander la mise en œuvre d’une expertise judiciaire : l’aspect médical des conclusions du Dr H______ n’est pas contesté, seule l’appréciation de l’expert quant au fait que son activité aménagée ne serait pas adaptée à son état de santé l’est. Le recourant soutient qu’aucun métier n’est plus adapté à son état de santé que celui qu’il exerce à 50%, ce taux d’activité étant le maximum que l’on peut exiger de lui.</w:t>
      </w:r>
    </w:p>
    <w:p>
      <w:r>
        <w:rPr>
          <w:b/>
        </w:rPr>
        <w:t>E. 28</w:t>
      </w:r>
    </w:p>
    <w:p>
      <w:r>
        <w:t>Dans ses observations du 7 avril 2014, l’intimé a persisté dans ses conclusions. Se- lon lui, le marché du travail offre un éventail suffisamment large d’activités légères pour que l’on puisse convenir qu’un nombre significatif d’entre elles sont adaptées aux limitations fonctionnelles du recourant, qui n’établit pas de manière convain- cante que des activités simples ne seraient pas exigibles à 100% au regard des limi- tations retenues.</w:t>
      </w:r>
    </w:p>
    <w:p>
      <w:r>
        <w:t>EN DROIT</w:t>
      </w:r>
    </w:p>
    <w:p>
      <w:r>
        <w:t>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 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 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 vanche la procédure, et à défaut de règles transitoires contraires, le nouveau droit s'applique sans réserve dès le jour de son entrée en vigueur (ATF 117 V 93 consid. 6b ; ATF 112 V 360 consid. 4a ; RAMA 1998 KV 37 p. 316 consid. 3b).</w:t>
      </w:r>
    </w:p>
    <w:p>
      <w:r>
        <w:t>A/4011/2013 - 9/17 - En l'espèce, au vu des faits pertinents, du point de vue matériel, le droit éventuel aux prestations doit être examiné au regard des dispositions de la LAI en vigueur du 1er janvier 2008 (5ème révision) jusqu'au 31 décembre 2011 et après le 1er jan- vier 2012 (révision 6a), en fonction des modifications de la LAI, dans la mesure de leur pertinence (ATF 130 V 445 et les références ; voir également ATF 130 V 329 et ATF 130 V 332 consid. 2.2 et 2.3). Il convient de préciser que ces novelles intro- duites par la 5ème révision et la révision 6a de la LAI n'ont pas amené de modifica- tions substantielles en matière d'évaluation du degré d'invalidité (arrêt du Tribunal administratif fédéral I 249/05 du 11 juillet 2006 consid. 2.1 et Message concernant la modification de la loi fédérale sur l'assurance-invalidité du 22 juin 2005, FF 2005 p. 4322) et de conditions d'octroi générales des mesures de réadaptation (cf. Mes- sage concernant la modification de la loi fédérale sur l'assurance-invalidité [5ème ré- vision] du 22 juin 2005, FF 2005 4215, p. 4316 ; message relatif à la modification de la loi fédérale sur l’assurance-invalidité [6e révision, premier volet] du 24 février 2010, FF 2010 1647, p. 1648 à 1650). 4. Le délai de recours est de 30 jours (art. 60 al. 1 LPGA). Interjeté dans la forme et le délai prévus par la loi, le recours est recevable (art. 56ss et 38 LPGA). 5. Le litige porte sur le droit du recourant à une rente d'invalidité, en particulier sur la question de savoir si son état de santé s’est aggravé depuis la décision de refus de prestation de l’intimé du 15 novembre 2010, au point de modifier le droit aux pres- tations. 6.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 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 cation initiale erronée), il y a lieu d'envisager une révocation sous l'angle de la re- considération (art. 53 al. 2 LPGA). Enfin, il est des cas où une modification des fondements juridiques déterminants intervient après le prononcé de la décision (ATF 135 V 215 consid. 4.1; ATF 127 V 10 consid. 4b).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A/4011/2013 - 10/17 -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 tances sont demeurées inchangées et que le motif de la suppression ou de la diminu- tion de la rente réside uniquement dans une nouvelle appréciation du cas (ATF 112 V 371 consid. 2b; ATF 112 V 387 consid. 1b). Un motif de révision au sens de l'art. 17 LPGA doit clairement ressortir du dossier (Arrêt du Tribunal fédéral des assu- 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 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 gré d’invalidité lors d’une nouvelle révision de la rente (ATF 133 V 108 con- sid. 5.4; ATF 130 V 343 consid. 3.5.2). 7. Est réputée invalidité, l'incapacité de gain totale ou partielle présumée permanente ou de longue durée, résultant d'une infirmité congénitale, d'une maladie ou d'un ac- cident (art. 8 al. 1 LPGA et 4 al. 1 LAI). Selon l’art. 7 LPGA, est réputée incapacité de gain toute diminution de l'ensemble ou d'une partie des possibilités de gain de l'assuré sur le marché du travail équilibré qui entre en considération, si cette dimi- nution résulte d'une atteinte à la santé physique ou mentale et qu'elle persiste après les traitements et les mesures de réadaptation exigibles (art. 7 LPGA). (al 1). Seules les conséquences de l’atteinte à la santé sont prises en compte pour juger de la pré- 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 mi-rente s’il est invalide à 50% au moins, ou à un quart de rente s’il est invalide à 40% au moins. Est réputée invalidité, l'incapacité de gain totale ou partielle présumée permanente ou de longue durée, résultant d'une infirmité congénitale, d'une maladie ou d'un ac- cident (art. 8 al. 1 LPGA et 4 al. 1 LAI). Selon l’art. 7 LPGA, est réputée incapacité de gain toute diminution de l'ensemble ou d'une partie des possibilités de gain de</w:t>
      </w:r>
    </w:p>
    <w:p>
      <w:r>
        <w:t>A/4011/2013 - 11/17 - l'assuré sur le marché du travail équilibré qui entre en considération, si cette dimi- nution résulte d'une atteinte à la santé physique ou mentale et qu'elle persiste après les traitements et les mesures de réadaptation exigibles (al 1). Seules les consé- 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 traîne une incapacité de travail ayant des effets sur la capacité de gain de l’assuré (Arrêt du Tribunal administratif fédéral I 654/00 du 9 avril 2001 consid. 1). 8. Pour évaluer le taux d'invalidité, le revenu que l'assuré aurait pu obtenir s'il n'était pas invalide est comparé avec celui qu'il pourrait obtenir en exerçant l'activité qui peut raisonnablement être exigée de lui après les traitements et les mesures de réa- daptation, sur un marché du travail équilibré (art. 16 LPGA et art. 28a al. 1 LAI). La comparaison des revenus s'effectue, en règle ordinaire, en chiffrant aussi exac- tement que possible les montants de ces deux revenus et en les confrontant l'un avec l'autre, la différence permettant de calculer le taux d'invalidité (méthode géné- rale de comparaison des revenus ; ATF 128 V 29 consid. 1 ; ATF 104 V 135 con- sid. 2a et 2b). Pour procéder à la comparaison des revenus, il convient de se placer au moment de la naissance du droit à la rente ; les revenus avec et sans invalidité doivent être dé- terminés par rapport à un même moment et les modifications de ces revenus sus- 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 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 qu'avant d'être reconnu définitivement incapable de travailler, l'assuré était au chô- mage ou rencontrait d'ores et déjà des difficultés professionnelles en raison d'une</w:t>
      </w:r>
    </w:p>
    <w:p>
      <w:r>
        <w:t>A/4011/2013 - 12/17 - dégradation progressive de son état de santé ou encore percevait une rémunération inférieure aux normes de salaire usuelles. On peut également songer à la situation dans laquelle le poste de travail de l'assuré avant la survenance de l'atteinte à la san- té n'existe plus au moment déterminant de l'évaluation de l'invalidité (Arrêts du Tribunal administratif fédéral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 ticulier (limitations liées au handicap, âge, années de service, nationalité/catégorie d'autorisation de séjour et taux d'occupation) et résulte d'une évaluation dans les li- mites du pouvoir d'appréciation. Une déduction globale maximum de 25% sur le sa- laire statistique permet de tenir compte des différents éléments qui peuvent influen- 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 tenue lorsqu'il est amené à vérifier le bien-fondé d'une telle appréciation. L'examen porte alors sur le point de savoir si une autre solution que celle que l'autorité, dans le cas concret, a adoptée dans le cadre de son pouvoir d'appréciation et en respec- tant les principes généraux du droit, n'aurait pas été plus judicieuse quant à son ré- sultat. Pour autant, le juge ne peut, sans motif pertinent, substituer son appréciation à celle de l'administration; il doit s'appuyer sur des circonstances de nature à faire apparaître sa propre appréciation comme la mieux appropriée (ATF 126 V 75 con- sid. 6 ; ATF 123 V 150 consid. 2 et les références ;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 nir qu'un nombre significatif sont adaptées aux limitations du recourant et acces- sibles sans aucune formation particulière (Arrêt du Tribunal fédéral 9C_279/2008 du 16 décembre 2008 consid. 4).</w:t>
      </w:r>
    </w:p>
    <w:p>
      <w:r>
        <w:t>A/4011/2013 - 13/17 - 9. Pour pouvoir calculer le degré d’invalidité, l’administration (ou le juge, s’il y a eu un recours) a besoin de documents qu’un médecin, éventuellement d’autres spécia- 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 ger de l’assuré (ATF 125 V 256 consid. 4 et les références).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 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3b/cc). On ajoutera qu'en cas de divergence d’opinion entre experts et médecins traitants, il n'est pas, de manière générale, nécessaire de mettre en œuvre une nouvelle exper- 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w:t>
      </w:r>
    </w:p>
    <w:p>
      <w:r>
        <w:t>A/4011/2013 - 14/17 - fédéral I 514/06 du 25 mai 2007 consid. 2.2.1, in SVR 2008 IV Nr. 15 p. 43), on ne saurait remettre en cause une expertise ordonnée par l'administration ou le juge et procéder à de nouvelles investigations du seul fait qu'un ou plusieurs médecins trai- 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 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 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 céder ne viole pas le droit d’être entendu selon l’art. 29 al. 2 de la Constitution fé- dérale de la Confédération suisse du 18 avril 1999 (RS 101 - Cst; SVR 2001 IV n. 10 p. 28 consid. 4b), la jurisprudence rendue sous l’empire de l’art. 4 aCst. étant toujours valable (ATF 124 V 90 consid. 4b, ATF 122 V 157 consid. 1d). 11. a) En l’espèce, l’intimé retient que la capacité de travail du recourant est de 0% dans l’activité de carreleur, de 50% dans son activité de carreleur aménagée et de 100% dans une activité légère respectant les limitations fonctionnelles, sans dimi- nution de rendement. L’intimé se fonde sur l’expertise du 19 juillet 2013 du Dr H______. Quant au recourant, il conteste la valeur probante de cette expertise et soutient que sa capacité de travail ne saurait excéder 50% dans une activité adaptée. Selon lui, les aménagements consentis par son employeur ont permis d’adapter de façon op- timale son activité habituelle de carreleur à son état de santé, de sorte qu’on ne sau- rait exiger de lui qu’il change de profession. Le recourant se fonde principalement sur l’attestation de son employeur et les rapports des Drs C______ et G______. b) A titre liminaire, il convient de relever que l’ensemble des médecins consultés a admis une aggravation de l’état de santé du recourant depuis la décision de refus de</w:t>
      </w:r>
    </w:p>
    <w:p>
      <w:r>
        <w:t>A/4011/2013 - 15/17 - prestation de l’intimé du 15 novembre 2010. En réalité, leurs conclusions divergent uniquement en ce qui concerne la capacité de travail du recourant. c) La chambre de céans constate que l’expertise du Dr H______ répond aux réqui- sits jurisprudentiels relatifs à la valeur probante : elle se fonde sur le dossier médi- cal complet et sur un examen clinique du recourant, expose son anamnèse, l’évolution de sa maladie et relate ses plaintes ; les diagnostics retenus par le Dr H______ sont clairs et cohérents avec les rapports établis par les médecins trai- tants du recourant ; ses conclusions quant à l’incapacité de travail et aux limitations fonctionnelles sont motivées ; son appréciation du cas permet de comprendre les at- teintes à la santé du recourant et leurs conséquences sur sa capacité de travail et son rendement, que ce soit dans une activité de carreleur, dans l’activité de carreleur aménagée ou dans une activité adaptée aux limitations fonctionnelles énoncées. Le Dr H______ reconnaît une aggravation de l’état de santé et en tire des consé- quences claires et logiques quant aux limitations fonctionnelles et à la capacité de travail. De plus, compte tenu des éléments figurant au dossier, il apparaît que l’expert a correctement pris en compte le fait que l’activité de carreleur du recou- rant ne correspondait pas à une activité de carreleur typique. En effet, les mesures prises par l’employeur permettent à l’intéressé de continuer à travailler dans l’entreprise à 50%. Eu égard aux conclusions de l’expertise, cela démontre que si l’activité habituelle a été aménagée dans le but de soulager et de respecter au mieux les limitations fonctionnelles de l’assuré, elle ne lui permet pas de mettre à profit sa pleine capacité de travail. Celle-ci pourrait être entièrement exploitée dans une autre profession, telle que celles de chauffeur ou de concierge d’école, comme l’intimé l’avait déterminé dans le cadre de son coaching, en 2009. En outre, une re- conversion professionnelle du recourant lui permettrait d’augmenter son revenu. En tous les cas et même s’il fallait considérer que les activités de chauffeur ou de con- cierge d’école ne respectent plus les limitations fonctionnelles du recourant à l’heure actuelle, il convient d'admettre que, conformément à la jurisprudence, le marché du travail offre un éventail suffisamment large d'activités légères pour que l’on puisse admettre qu’un nombre significatif d’entre elles sont adaptées aux limi- tations du recourant et accessibles sans formation particulière. Il est compréhensible que la perspective de changer de profession puisse inquiéter le recourant, ce d’autant plus que son employeur démontre un grand respect de sa personne et de sa santé. Néanmoins, une reconversion professionnelle peut raisonnablement être exi- gée de lui pour réduire la durée et l’étendue de son incapacité de travail et pour em- pêcher la survenance d’une invalidité (art. 7 al. 1 LAI), dont il convient de rappeler qu’il s’agit d’une notion économique et non médicale. C’est par ailleurs en vain que le recourant invoque les avis de ses médecins traitants pour contester l’expertise du Dr H______. En effet, l’expert a pris en compte l’ensemble des circonstances du cas d’espèce et aucun élément contenu dans les rapports des Drs C______ et G______ n’a été ignoré. De plus, les conclusions du Dr C______ relatives à la capacité de travail ne sont pas motivées. Quant au rapport</w:t>
      </w:r>
    </w:p>
    <w:p>
      <w:r>
        <w:t>A/4011/2013 - 16/17 - du 7 novembre 2012 du Dr G______, plus particulièrement sa motivation relative à la capacité de travail, il est principalement fondé sur les plaintes du recourant, de sorte qu’il manque d’objectivité. La chambre de céans n’a dès lors aucun motif de s’écarter des conclusions du Dr H______. Il convient donc de retenir que le recourant, s’il est entravé à 100% dans l’activité typique de carreleur et à 50% dans son activité actuelle, telle qu’aménagée par son employeur, a conservé une pleine et entière capacité à exercer une activité adaptée à ses limitations fonctionnelles, sans diminution de rendement. 12. Au vu de ce qui précède, le recours est rejeté. Etant donné que depuis le 1er juillet 2006, la procédure n'est plus gratuite (art. 69 al. 1bis LAI), il y a lieu de condamner le recourant au paiement d'un émolument de CHF 200.-.</w:t>
      </w:r>
    </w:p>
    <w:p>
      <w:r>
        <w:t>A/4011/2013 - 17/17 -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