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ATAS/1323/2007 vom 21. November 2007</w:t>
      </w:r>
    </w:p>
    <w:p>
      <w:r>
        <w:t>GE Cour de justice, 2007-11-21, FR</w:t>
      </w:r>
    </w:p>
    <w:p>
      <w:r>
        <w:rPr>
          <w:b/>
        </w:rPr>
        <w:t xml:space="preserve">Quelle: </w:t>
      </w:r>
      <w:r>
        <w:t>https://mcp.opencaselaw.ch/entscheid/ge_gerichte_ATAS_1323_2007</w:t>
      </w:r>
    </w:p>
    <w:p>
      <w:r>
        <w:t>FR: GE_GERICHTE ATAS/1323/2007 du 21 novembre 2007</w:t>
      </w:r>
    </w:p>
    <w:p>
      <w:r>
        <w:t>IT: GE_GERICHTE ATAS/1323/2007 del 21 novembre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délai et forme prescrits par la loi, le recours est recevable (art. 56 ss LPGA).</w:t>
      </w:r>
    </w:p>
    <w:p>
      <w:r>
        <w:rPr>
          <w:b/>
        </w:rPr>
        <w:t>E. 3</w:t>
      </w:r>
    </w:p>
    <w:p>
      <w:r>
        <w:t>Est litigieux en l’occurrence le point de savoir si le recourant présente un degré d’invalidité lui ouvrant le droit à une rente ou à des mesures d’ordre professionnel.</w:t>
      </w:r>
    </w:p>
    <w:p>
      <w:r>
        <w:rPr>
          <w:b/>
        </w:rPr>
        <w:t>E. 4</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A/3482/2007 - 5/8 -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b) En vertu de l'art. 28 al. 1 LAI dans sa teneur entrée en vigueur le 1er janvier 2004, l'assuré a droit à une rente s'il est invalide à 40 % au moins. La rente est échelonnée comme suit, selon le taux d'invalidité : 40 % au moins un quart, 50 % au moins une demie, 60 % au moins trois quarts et 70 % au moins rente entière.</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rPr>
          <w:b/>
        </w:rPr>
        <w:t>E. 6</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le Dr E__________ du SMR a constaté que l’assuré n’était certes plus capable ou, du moins, seulement à 30 %, d’exercer son ancien métier de</w:t>
      </w:r>
    </w:p>
    <w:p>
      <w:r>
        <w:t>A/3482/2007 - 6/8 - boulanger-pâtissier, mais qu’il présentait une capacité de travail de 100 % dans une activité adaptée, permettant notamment d’alterner les positions assise et debout et ne nécessitant pas le soulèvement régulier de charges excédant 5 kilos. Ce rapport remplit en principe les réquisits jurisprudentiels pour lui accorder une pleine valeur probante.</w:t>
      </w:r>
    </w:p>
    <w:p>
      <w:r>
        <w:t>Il est vrai que le Dr D__________ estime que le recourant présente une incapacité de travail de 100 % même dans une activité adaptée. Toutefois, il ne précise pas pour quelle raison plus aucune activité n'est exigible. Par ailleurs, les limitations fonctionnelles mentionnées dans son rapport concernant les capacités professionnelles sont en grande partie identiques à celles constatées par le Dr E__________. Ainsi, le recourant peut notamment tenir la position assise.</w:t>
      </w:r>
    </w:p>
    <w:p>
      <w:r>
        <w:t>Le Tribunal de céans ne voit par ailleurs aucune contradiction entre le fait que l'exercice de l'ancienne profession n'est plus exigible et le fait qu'une activité adaptée aux limitations l'est à 100 %, s'agissant d'une personne qui présente notamment des difficultés à rester debout et ne peut pas porter des charges de plus de 5 kg. Partant, il y a lieu d'admettre que les conclusions du Dr E__________ ne sont pas mises en doute par le rapport du Dr D__________, et de reconnaître au recourant une capacité de travail de 100 % dans une activité adaptée.</w:t>
      </w:r>
    </w:p>
    <w:p>
      <w:r>
        <w:rPr>
          <w:b/>
        </w:rPr>
        <w:t>E. 8</w:t>
      </w:r>
    </w:p>
    <w:p>
      <w:r>
        <w:t>a) Cependant, l’administration doit en principe indiquer quelles sont les possibilités de travail concrètes qui entrent en considération, en fonction des limitations de l’assuré (ATF 107 V 20 consid. 2b = RCC 1982 p. 34). La concrétisation des possibilités de travail et des perspectives de gain ne doit néanmoins pas être subordonnée à des exigences excessives. Pour l’évaluation de l’invalidité, il n’est pas déterminant si la personne invalide peut être placée eu égard aux conditions concrètes du marché du travail, mais uniquement si elle pourrait encore exploiter économiquement sa capacité de travail résiduelle lorsque les places de travail disponibles correspondent à l’offre de la main-d’œuvre. (VSI 1998 p. 293). b) Or, en l'occurrence, le Tribunal de céans constate que l'intimé n'a pas indiqué au recourant quelles professions il pourrait encore exercer. Au vu de ses nombreuses limitations fonctionnelles, le choix des activités professionnelles qui lui restent encore accessibles est par ailleurs a priori très restreint. Même le Dr E__________ du SMR semble douter qu'une activité adaptée existe in casu, dès lors qu'il précise à deux reprises à la page 6 de son rapport que la capacité de travail est complète dans une "activité strictement adaptée aux limitations fonctionnelles pour autant qu'elle existe". Dans ces conditions, il y a lieu d'admettre que le dossier est insuffisamment instruit. Il convient dès lors de renvoyer la cause à l'intimé afin qu'il détermine</w:t>
      </w:r>
    </w:p>
    <w:p>
      <w:r>
        <w:t>A/3482/2007 - 7/8 - dans quelle mesure le recourant peut encore exploiter économiquement sa capacité de gain résiduelle sur le marché du travail entrant en considération, en exerçant une activité adaptée à son état, et dans quels métiers.</w:t>
      </w:r>
    </w:p>
    <w:p>
      <w:r>
        <w:rPr>
          <w:b/>
        </w:rPr>
        <w:t>E. 9</w:t>
      </w:r>
    </w:p>
    <w:p>
      <w:r>
        <w:t>En tout état de cause, le recourant devrait être mis au bénéfice d'une orientation professionnelle, dans le cadre de l'instruction complémentaire, au vu des considérants qui suivent. a) En vertu de l'art. 40 LAI, l'assuré a droit à l'orientation professionnelle, lorsque son invalidité rend difficile le choix d'une profession où l'exercice de son activité antérieure. L'invalidité au sens de cette disposition légale consiste en un empêchement dans le choix d'une profession, pour des raisons de santé, ou dans l'exercice de l'activité antérieure d'un assuré en principe capable de travailler. Entre en considération tout handicap physique ou psychique qui est restreint le cercle des professions et activités possibles que l’assuré pourrait exercer en fonction de son aptitude et de sa motivation, ou qui rend impossible l'exercice du travail précédent. Sont toutefois exclus les handicaps de peu d'importance qui n'entraînent pas un empêchement notable et ne justifient dès lors pas les prestations de l'assurance-invalidité (ATF 114 V 29 s.s. 1a). b) En l’espèce, le recourant a travaillé, avant la survenance de l’invalidité, en tant que boulanger-pâtissier. Cette activité lui est aujourd’hui interdite en raison de ses limitations fonctionnelles. Il convient également de relever que les autres professions exercées précédemment ne constituent pas non plus des activités compatibles avec ses handicaps, dans la mesure où elles impliquent de travailler debout et de porter des charges. La profession de chauffeur est aussi contre- indiquée en raison de la nécessité d'alterner les positions. Cela étant, il y a lieu de constater que le recourant présente un empêchement dans les activités exercées précédemment et ainsi une invalidité au sens de la disposition légale précitée. Son handicap est par ailleurs notable, étant donné qu'il ne peut notamment plus travailler débout et porter des charges de plus de cinq kilos, doit alterner les positions, a un périmètre de marche très limité et doit éviter les efforts physiques. Par conséquent, il convient d’admettre qu’il remplit les conditions légales pour bénéficier d’une orientation professionnelle.</w:t>
      </w:r>
    </w:p>
    <w:p>
      <w:r>
        <w:rPr>
          <w:b/>
        </w:rPr>
        <w:t>E. 10</w:t>
      </w:r>
    </w:p>
    <w:p>
      <w:r>
        <w:t>Cela étant, le recours sera partiellement admis, la décision annulée et la cause renvoyée à l'intimé pour instruction complémentaire et nouvelle décision.</w:t>
      </w:r>
    </w:p>
    <w:p>
      <w:r>
        <w:rPr>
          <w:b/>
        </w:rPr>
        <w:t>E. 11</w:t>
      </w:r>
    </w:p>
    <w:p>
      <w:r>
        <w:t>Le recourant obtenant partiellement gain de cause, une indemnité de 1000 fr. lui est accordée à titre de dépens.</w:t>
      </w:r>
    </w:p>
    <w:p>
      <w:r>
        <w:rPr>
          <w:b/>
        </w:rPr>
        <w:t>E. 12</w:t>
      </w:r>
    </w:p>
    <w:p>
      <w:r>
        <w:t>Au vu de l’issue du recours, l’émolument de justice de 200 fr. sera mis à la charge de l’intimé.</w:t>
      </w:r>
    </w:p>
    <w:p>
      <w:r>
        <w:t>A/3482/2007 - 8/8 -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