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ATAS/1322/2014 vom 18. Dezember 2014</w:t>
      </w:r>
    </w:p>
    <w:p>
      <w:r>
        <w:t>GE Cour de justice, 2014-12-18, FR</w:t>
      </w:r>
    </w:p>
    <w:p>
      <w:r>
        <w:rPr>
          <w:b/>
        </w:rPr>
        <w:t xml:space="preserve">Quelle: </w:t>
      </w:r>
      <w:r>
        <w:t>https://mcp.opencaselaw.ch/entscheid/ge_gerichte_ATAS_1322_2014</w:t>
      </w:r>
    </w:p>
    <w:p>
      <w:r>
        <w:t>FR: GE_GERICHTE ATAS/1322/2014 du 18 décembre 2014</w:t>
      </w:r>
    </w:p>
    <w:p>
      <w:r>
        <w:t>IT: GE_GERICHTE ATAS/1322/2014 del 18 dicembre 2014</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Il n'est pas contesté que le trouble bipolaire, dont souffre le demandeur depuis 1996, se trouve à l'origine d'incapacités de travail survenues durant son affiliation aux caisses défenderesses et de l'invalidité reconnue ultérieurement par les organes de l'assurance-invalidité. Reste en revanche litigieuse, la question de savoir si l’une ou l’autre de ces institutions est tenue à prestation en raison de cette invalidité.</w:t>
      </w:r>
    </w:p>
    <w:p>
      <w:r>
        <w:rPr>
          <w:b/>
        </w:rPr>
        <w:t>E. 3</w:t>
      </w:r>
    </w:p>
    <w:p>
      <w:r>
        <w:t>3.a. L'art. 23 LPP, dans sa teneur en vigueur jusqu'au 31 décembre 2004, disposait qu'ont droit à des prestations d'invalidité les personnes qui sont invalides à raison de 50 % au moins au sens de l'AI, et qui étaient assurées lorsqu'est survenue l'incapacité de travail dont la cause est à l'origine de l'invalidité. L'art. 23 let. a LPP (nouvelle teneur selon le ch. I de la novelle du 3 octobre 2003 [1ère révision LPP], en vigueur depuis le 1er janvier 2005) dispose qu'ont droit à des prestations d'invalidité les personnes qui sont invalides à raison de 40 % au moins au sens de l'AI, et qui étaient assurées lorsqu'est survenue l'incapacité de travail dont la cause est à l'origine de l'invalidité. Par rapport à la teneur de l’art. 23 LPP en vigueur jusqu’au 31 décembre 2004, l’art. 23 let. a LPP n’a rien changé à l’exigence – déterminante pour l’obligation de prestation de l’institution de prévoyance – d’étroite connexité matérielle et temporelle entre la survenance de l’incapacité de travail et l’invalidité (Marc HÜRZELER in Schneider/Geiser/Gächter, Commentaire LPP et LFLP, 2010, n. 21 ad art. 23 LPP). 3.b.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w:t>
      </w:r>
    </w:p>
    <w:p>
      <w:r>
        <w:t>A/4006/2009 - 19/28 - ancienne teneur, art. 23 let. a LPP nouvelle teneur ; ATF 135 V 13 consid. 2.6). Si l'incapacité de travail d'une certaine importance est survenue durant la période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138 V 227 consid. 5.1). Quant au droit à des prestations d'invalidité, il prend naissance au même moment que le droit à une rente de l'assurance-invalidité pour la prévoyance professionnelle obligatoire (art. 26 al. 1 LPP ; ATF 123 V 269 consid. 2a). Ces principes trouvent aussi application en matière de prévoyance plus étendue, si le règlement de l'institution de prévoyance ne prévoit rien d'autre (ATF 138 V 227 consid. 5.1 ; ATF 136 V 65 consid. 3.2). 3.c.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(ATF 123 V 262 consid. 1c ; 120 V 112 consid. 2c/aa). 3.d. La relation de connexité temporelle doit être examinée au regard de l'ensemble des circonstances du cas d'espèce, tels la nature de l'atteinte à la santé, le pronostic médical, ainsi que les motifs qui ont conduit la personne assurée à reprendre ou ne</w:t>
      </w:r>
    </w:p>
    <w:p>
      <w:r>
        <w:t>A/4006/2009 - 20/28 - pas reprendre une activité lucrative.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à des prestations lorsqu'elle a duré au moins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9C_768/2008 du 15 mai 2009 consid. 3).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(Arrêt du Tribunal fédéral 9C_503/2013 du 25 février 2014 consid. 3.2). On précisera que la jurisprudence n'a jamais défini d'une manière absolue et exhaustive la période durant laquelle la personne assurée doit avoir été à nouveau capable de travailler pour admettre une rupture du lien de connexité temporelle (Arrêt du Tribunal fédéral 9C_176/2013 du 20 septembre 2013 consid. 3.1), retenant uniquement à cet égard une présomption de la rupture d’un tel lien après une capacité de travail ininterrompue de trois mois au moins (ATF 134 V 22 consid. 3.2). 3.e. Pour la survenance de l'incapacité de travail au sens de l'art. 23 LPP, c'est la diminution de la capacité fonctionnelle de rendement dans la profession exercée jusque-là ou le champ d'activités habituelles qui est déterminante (ATF 134 V 20 consid. 3.2.), la diminution de la capacité fonctionnelle de rendement dans la profession exercée jusque-là devant être de 20 % au moins (Arrêt du Tribunal fédéral 9C_748/2010 du 20 mai 2011 consid. 2.5). Elle doit se manifester au regard du droit du travail et avoir été remarquée par l'employeur. Une incapacité de travail médico-théorique qui n'a été constatée que des années après ne suffit pas (Arrêt du Tribunal fédéral 9C_748/2010 du 20 mai 2011 consid. 2.5). De plus, la diminution de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courtes durées, répétées, au travail pour cause de maladie, de peu de jours ou de semaines isolées (Marc HÜRZELER,</w:t>
      </w:r>
    </w:p>
    <w:p>
      <w:r>
        <w:t>A/4006/2009 - 21/28 - op. cit. n. 7 ad. art. 23 LPP et la jurisprudence citée). Il existe une incapacité de travail au sens de l'art. 23 (à partir du 1er janvier 2005 :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 du Tribunal fédéral 9C_748/2010 du 20 mai 2011 consid. 2.5). 3.f.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Toutefois, pour admettre une telle interruption, il faut encore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 celle-ci lui permette de réaliser un revenu excluant le droit à une rente (Arrêt du Tribunal fédéral 9C_98/2013 du 4 juillet 2013 consid. 4.1, in SVR 2014 BVG n° 1 p. 2). 3.g. De jurisprudence constante (ATF 121 V 97 consid. 2a), l'art. 23 LPP sert à délimiter les responsabilités entre institution de prévoyance, notamment lorsque le travailleur, déjà atteint dans sa santé dans une mesure propre à influer sur sa capacité de travail, entre au service d'un nouvel employeur en changeant en même temps d'institution de prévoyance et bénéficie, ultérieurement, d'une rente de l'assurance-invalidité. Il découle de cette disposition que l'obligation de prester incombe à une seule institution de prévoyance - sous réserve des cas où un salarié est soumis à plusieurs rapports de travail en même temps - et ne peut pas être répartie entre plusieurs institutions de prévoyance auxquelles le salarié aurait été successivement affilié. Deux institutions de prévoyance ne peuvent être tenues simultanément de verser des prestations de la prévoyance obligatoire à un assuré pour le même cas d'assurance (Arrêt du Tribunal fédéral 9C_797/2013 du 30 avril 2014 consid. 3.4).</w:t>
      </w:r>
    </w:p>
    <w:p>
      <w:r>
        <w:rPr>
          <w:b/>
        </w:rPr>
        <w:t>E. 4</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w:t>
      </w:r>
    </w:p>
    <w:p>
      <w:r>
        <w:t>A/4006/2009 - 22/28 - point de vue objectif, des motifs importants plaident pour l'exactitude d'une allégation, sans que d'autres possibilités ne revêtent une importance significative ou n'entrent raisonnablement en considération (ATF 139 V 176 consid. 5.3).</w:t>
      </w:r>
    </w:p>
    <w:p>
      <w:r>
        <w:rPr>
          <w:b/>
        </w:rPr>
        <w:t>E. 5</w:t>
      </w:r>
    </w:p>
    <w:p>
      <w:r>
        <w:t>5.a. En l’espèce, l’instruction complémentaire effectuée en application de l’arrêt de renvoi du Tribunal fédéral à la chambre de céans, et conformément à la maxime inquisitoire, applicable à la procédure en matière de prévoyance professionnelle (art. 73 al. 2ème phr. LPP), a révélé que peu avant son entrée en service à l’OFPC, le 15 octobre 2002, l’assuré s’était trouvé totalement incapable de travailler, en raison de son affection psychique, du 3 avril au 15 septembre 2002, soit durant près de cinq mois et demi. Selon ses déclarations aux HUG, l’intéressé avait développé, dès l’été 2001, une décompensation hypomane qui l’avait empêché de travailler de façon satisfaisante à B______, si bien qu’il avait été licencié en mars 2002, soit un mois avant son hospitalisation. Il apparaît ainsi que dès 2002, l'atteinte à la santé psychique avait entraîné une incapacité de travail importante, dans une mesure excédant le seuil de 20 % requis par la jurisprudence (cf. ci-dessus, consid. 3.e.). 5.b. Dans son argumentation subsidiaire, qu’il convient d’examiner en premier lieu dans la mesure où elle pourrait conduire à écarter sans autre examen les conclusions du demandeur à l’encontre des parties défenderesses, la CPEG fait valoir qu’après son engagement à l’OFPC, singulièrement entre le 1er décembre 2002 au 12 août 2003, l’aptitude de l’assuré à exercer une activité lucrative ne s’était pas rétablie de manière suffisamment durable pour interrompre le lien de connexite temporelle entre l’incapacité de travail survenue avant son affiliation à la CPEG et l’invalidité survenue postérieurement. 5.c. En l’espèce, un mois après la fin de son incapacité de travail (16 septembre 2002), et deux semaines à peine après son entrée en service auprès de l’OFPC (15 octobre 2002), l’assuré s’est retrouvé empêché de travailler à 100 % du 28 octobre au 4 novembre 2002. Par la suite, il a été incapable de travailler du 28 au 31 novembre 2002 à 100 %, puis du 12 août au 16 novembre 2003 à 100 %, du 17 novembre au</w:t>
      </w:r>
    </w:p>
    <w:p>
      <w:r>
        <w:rPr>
          <w:b/>
        </w:rPr>
        <w:t>E. 9</w:t>
      </w:r>
    </w:p>
    <w:p>
      <w:r>
        <w:t>Selon la réglementation légale et la jurisprudence,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(Arrêt du Tribunal B 61/03du 13 octobre 2003 consid. 5 ; ATF 126 V 149 consid. 4 ; ATAS/161/2014). En l’espèce, on ne saurait considérer que le demandeur ait agi de manière téméraire ou témoigné de légèreté, de sorte qu’il ne peut être condamné à verser des dépens aux défenderesses.</w:t>
      </w:r>
    </w:p>
    <w:p>
      <w:r>
        <w:rPr>
          <w:b/>
        </w:rPr>
        <w:t>E. 10</w:t>
      </w:r>
    </w:p>
    <w:p>
      <w:r>
        <w:t>La procédure est gratuite (art. 73 al. 2 LPP et art. 89H al. 1 LPA).</w:t>
      </w:r>
    </w:p>
    <w:p>
      <w:r>
        <w:t>A/4006/2009 - 28/28 -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