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ATAS/1322/2009 vom 27. Oktober 2009</w:t>
      </w:r>
    </w:p>
    <w:p>
      <w:r>
        <w:t>GE Cour de justice, 2009-10-27, FR</w:t>
      </w:r>
    </w:p>
    <w:p>
      <w:r>
        <w:rPr>
          <w:b/>
        </w:rPr>
        <w:t xml:space="preserve">Quelle: </w:t>
      </w:r>
      <w:r>
        <w:t>https://mcp.opencaselaw.ch/entscheid/ge_gerichte_ATAS_1322_2009</w:t>
      </w:r>
    </w:p>
    <w:p>
      <w:r>
        <w:t>FR: GE_GERICHTE ATAS/1322/2009 du 27 octobre 2009</w:t>
      </w:r>
    </w:p>
    <w:p>
      <w:r>
        <w:t>IT: GE_GERICHTE ATAS/1322/2009 del 27 ottobre 2009</w:t>
      </w:r>
    </w:p>
    <w:p>
      <w:pPr>
        <w:pStyle w:val="Heading2"/>
      </w:pPr>
      <w:r>
        <w:t>Erwägungen</w:t>
      </w:r>
    </w:p>
    <w:p>
      <w:r>
        <w:rPr>
          <w:b/>
        </w:rPr>
        <w:t>E. 10</w:t>
      </w:r>
    </w:p>
    <w:p>
      <w:r>
        <w:t>Reste à se prononcer sur le degré d’invalidité de l’assuré. Selon l’art. 28 al. 1er LAI dans sa teneur en vigueur du 1er janvier 2004 au 31 décembre 2007, l’assuré a droit à une rente entière s’il est invalide à 70% au</w:t>
      </w:r>
    </w:p>
    <w:p>
      <w:r>
        <w:t>A/1823/2009 - 10/13 - moins, à trois quarts de rente s’il est invalide à 60% au moins, à une demi-rente s’il est invalide à 50% au moins ou à un quart de rente s’il est invalide à 40% au moins (art. 28 al. 2 LAI dès le 1er janvier 2008). Chez les assurés actifs, le taux d'invalidité s'obtient en comparant le revenu du travail qu'il pourrait acquérir en exerçant l'activité qu'on peut raisonnablement attendre de lui, après exécution éventuelle de mesures de réadaptation et compte tenu d'une situation équilibrée du marché du travail, à celui qu'il aurait pu réaliser s'il n'était pas invalide (art. 16 LPGA et 28 al. 2 LAI; méthode générale de comparaison des revenus).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Le revenu de la personne valide se détermine en établissant au degré de vraisemblance prépondérante ce qu’elle aurait effectivement pu réaliser au moment déterminant si elle avait été en bonne santé (ATF 129 V 222 consid. 4.3.1 et la référence). Il doit être évalué de manière aussi concrète que possible si bien qu’il convient, en règle générale, de se référer au dernier salaire que l’assuré a obtenu avant l’atteinte à la santé.</w:t>
      </w:r>
    </w:p>
    <w:p>
      <w:r>
        <w:rPr>
          <w:b/>
        </w:rPr>
        <w:t>E. 11</w:t>
      </w:r>
    </w:p>
    <w:p>
      <w:r>
        <w:t>C'est à juste titre que l'OCAI a en l'espèce finalement retenu un statut d'actif à 100%, l'assuré ayant déclaré que s'il était en bonne santé, il travaillerait à plein temps.</w:t>
      </w:r>
    </w:p>
    <w:p>
      <w:r>
        <w:t>A/1823/2009 - 11/13 - Il a déterminé le revenu sans invalidité et celui avec invalidité sur la base de l’Enquête suisse sur la structure des salaires 2006, tableau TA1, tous secteurs confondus pour des activités simples et répétitives, l’assuré n’ayant pas repris d’activité lucrative depuis son arrêt de travail en 2005. Le montant ainsi obtenu a été adapté à la durée normale de travail en 2006 (Vie économique 1-2 2009, tableau B 9.2). Il a été retenu un abattement de 15%. Le Tribunal de céans considère que ce taux de 15% suffit à prendre en compte les limitations fonctionnelles ainsi que l’âge de l’assuré, de sorte qu’un taux plus important ne se justifierait pas. Le calcul auquel a procédé l’OCAI n’est dès lors pas critiquable. Le degré d’invalidité de 30,30% n’est pas susceptible d’ouvrir à l’assuré le droit à une rente d’invalidité, de sorte que le recours sera rejeté sur ce point.</w:t>
      </w:r>
    </w:p>
    <w:p>
      <w:r>
        <w:rPr>
          <w:b/>
        </w:rPr>
        <w:t>E. 12</w:t>
      </w:r>
    </w:p>
    <w:p>
      <w:r>
        <w:t>Il est en revanche suffisant pour que soit examiné l'octroi d’une mesure d’ordre professionnel, soit en particulier d’une mesure de reclassement ou d’une aide au placement. À teneur de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1bis 2ème phrase LAI prévoit que lors de la fixation de ces mesures, il est tenu compte de la durée probable de la vie professionnelle restante. De plus, l’art. 8 al. 3 let. b LAI précise que les mesures de réadaptation comprennent notamment les mesures d’ordre professionnel, soit l’orientation professionnelle, la formation professionnelle initiale, le reclassement, le placement et l’aide en capital. Selon l'art. 17 al. 1 LAI, l'assuré a droit au reclassement dans une nouvelle profession si son invalidité rend cette mesure nécessaire et que sa capacité de gain peut ainsi, selon toute vraisemblance, être sauvegardée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w:t>
      </w:r>
    </w:p>
    <w:p>
      <w:r>
        <w:t>A/1823/2009 - 12/13 -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13</w:t>
      </w:r>
    </w:p>
    <w:p>
      <w:r>
        <w:t>En l’espèce, l’assuré remplit manifestement les conditions objectives du droit au reclassement, soit la diminution de capacité de gain de plus de 20% et le changement de profession. Toutefois, même si l'assuré, dans sa demande de prestations AI, visait principalement la prise en charge d'un reclassement dans une nouvelle profession, il a confié dans le cadre d'un entretien au Service de réadaptation professionnelle le 2 janvier 2008, qu'il avait la certitude depuis de ne plus pouvoir travailler. Par ailleurs, au vu des limitations fonctionnelles présentées par l’assuré, il y a lieu de considérer, que sur un marché du travail équilibré, il existe un éventail suffisamment varié d’activités pouvant être exercées par l’assuré sans qu’une formation professionnelle ne soit nécessaire. Par conséquent, la décision de l’OCAI sera également confirmée sur ce point.</w:t>
      </w:r>
    </w:p>
    <w:p>
      <w:r>
        <w:rPr>
          <w:b/>
        </w:rPr>
        <w:t>E. 14</w:t>
      </w:r>
    </w:p>
    <w:p>
      <w:r>
        <w:t>L’OCAI enfin a fait savoir à l’assuré, dans sa décision du 24 avril 2009, qu’une mesure d’aide au placement pourrait être octroyée à sa demande. Il sera ainsi rappelé à l’assuré qu’il pourra solliciter en tout temps une telle mesure s’il en ressent le besoin.</w:t>
      </w:r>
    </w:p>
    <w:p>
      <w:r>
        <w:t>A/1823/2009 - 13/13 -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