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ATAS/1320/2012 vom 1. November 2012</w:t>
      </w:r>
    </w:p>
    <w:p>
      <w:r>
        <w:t>GE Cour de justice, 2012-11-01, FR</w:t>
      </w:r>
    </w:p>
    <w:p>
      <w:r>
        <w:rPr>
          <w:b/>
        </w:rPr>
        <w:t xml:space="preserve">Quelle: </w:t>
      </w:r>
      <w:r>
        <w:t>https://mcp.opencaselaw.ch/entscheid/ge_gerichte_ATAS_1320_2012</w:t>
      </w:r>
    </w:p>
    <w:p>
      <w:r>
        <w:t>FR: GE_GERICHTE ATAS/1320/2012 du 1 novembre 2012</w:t>
      </w:r>
    </w:p>
    <w:p>
      <w:r>
        <w:t>IT: GE_GERICHTE ATAS/1320/2012 del 1 novembre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 J 7 10]) auprès du tribunal des assurances du canton de domicile de l’assuré (art. 58 al. 1 LPGA). b) S’agissant des prestations complémentaire cantonales, l’art. 43 LPCC ouvre les mêmes voies de droit. c) En l’espèce, le recours formé le 18 novembre 2011 à l’encontre de la décision du 19 octobre 2011 a été interjeté dans les forme et délai prescrits par la loi, de sorte qu’il est recevable.</w:t>
      </w:r>
    </w:p>
    <w:p>
      <w:r>
        <w:rPr>
          <w:b/>
        </w:rPr>
        <w:t>E. 3</w:t>
      </w:r>
    </w:p>
    <w:p>
      <w:r>
        <w:t>Le litige porte sur le droit du recourant aux prestations complémentaires, plus particulièrement sur la question de savoir si c’est à juste titre que l’intimé a</w:t>
      </w:r>
    </w:p>
    <w:p>
      <w:r>
        <w:t>A/3917/2011 - 4/7 - considéré la diminution de patrimoine intervenue en 2004 comme un dessaisissement.</w:t>
      </w:r>
    </w:p>
    <w:p>
      <w:r>
        <w:rPr>
          <w:b/>
        </w:rPr>
        <w:t>E. 4</w:t>
      </w:r>
    </w:p>
    <w:p>
      <w:r>
        <w:t>a) Au niveau fédéral,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4 et 9 al. 1 LPC). b) Conformément à l'art. 11 al. 1 let. g LPC, les revenus déterminants comprennent notamment les ressources et parts de fortune dont un ayant droit s'est dessaisi. Selon la jurisprudence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considère qu’il y a dessaisissement lorsqu’un assuré a renoncé à des éléments de revenu ou de fortune sans obligation juridique et sans avoir reçu en échange une contre-prestation équivalente (ATF 131 V 329 consid. 4.3, 123 V 35 consid. 1). Il y a ainsi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P 12/04 du 14 septembre 2005, consid. 4.1). La donation constitue par excellence un acte de dessaisissement au sens de l’article 3 al. 1 let. f LPC. Le TF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c) L'art. 17a OPC-AVS/AI indique de quelle façon prendre en considération la fortune et d'éventuels dessaisissements dans le calcul de la prestation complémentaire :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w:t>
      </w:r>
    </w:p>
    <w:p>
      <w:r>
        <w:t>A/3917/2011 - 5/7 - fortune dessaisie ou de celle dont dispose encore l'ayant droit (ATF 118 V 150 consid. 3 p. 153 ss). d) Il n'existe pas de limite temporelle à la prise en compte d'un dessaisissement (ATF 120 V 182 consid. 4f)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(ATF non publié P 12/04 du 14 septembre 2005, consid. 4.1).</w:t>
      </w:r>
    </w:p>
    <w:p>
      <w:r>
        <w:rPr>
          <w:b/>
        </w:rPr>
        <w:t>E. 5</w:t>
      </w:r>
    </w:p>
    <w:p>
      <w:r>
        <w:t>Au niveau cantonal, un régime similaire prévaut :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Quant à la jurisprudence en matière de biens dessaisis, elle s’applique mutatis mutandis en matière de prestations complémentaires cantonales (ATAS 1290/2010 du 14 décembre 2010).</w:t>
      </w:r>
    </w:p>
    <w:p>
      <w:r>
        <w:rPr>
          <w:b/>
        </w:rPr>
        <w:t>E. 6</w:t>
      </w:r>
    </w:p>
    <w:p>
      <w:r>
        <w:t>a)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ATF 130 III 324 s. consid. 3.2 et 3.3). b)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w:t>
      </w:r>
    </w:p>
    <w:p>
      <w:r>
        <w:t>A/3917/2011 - 6/7 - (ATF non publié P 4/05 du 29 août 2005, consid. 5.3.2; VSI 1994 p. 227 consid. 4b; VSI 1995, p. 176).</w:t>
      </w:r>
    </w:p>
    <w:p>
      <w:r>
        <w:rPr>
          <w:b/>
        </w:rPr>
        <w:t>E. 7</w:t>
      </w:r>
    </w:p>
    <w:p>
      <w:r>
        <w:t>En l'espèce, il n’est pas contesté que le patrimoine du recourant a fortement diminué entre le 31 décembre 2003 et le 31 décembre 2004 puisqu’en une année, il est passé de 282'226 fr. à 33'185 fr. Le recourant s’est déclaré dans l’incapacité d’indiquer à qui a profité sa fortune. Il indique néanmoins avoir vraisemblablement fait des donations à diverses personnes et institutions, vraisemblablement en Israël. Dans la mesure où l’assuré n’a pu apporter la preuve de ses dépenses, c'est à bon droit que l’intimé a tenu compte d'un bien dessaisi équivalent à la différence entre sa fortune au 31 décembre 2003 et celle au 31 décembre 2004 et qu'il s'en est tenu au forfait légal de 10'000 fr. par année de l'art. 17a OPC-AVS/AI à titre de dépenses consacrées pour subvenir aux besoins propres, d’autant qu’à aucun moment, le recourant n’allègue avoir reçu de contre-prestation. 13. Eu égard aux considérations qui précèdent, le recours est rejeté.</w:t>
      </w:r>
    </w:p>
    <w:p>
      <w:r>
        <w:t>A/3917/2011 - 7/7 -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