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ATAS/1320/2008 vom 19. November 2008</w:t>
      </w:r>
    </w:p>
    <w:p>
      <w:r>
        <w:t>GE Cour de justice, 2008-11-19, FR</w:t>
      </w:r>
    </w:p>
    <w:p>
      <w:r>
        <w:rPr>
          <w:b/>
        </w:rPr>
        <w:t xml:space="preserve">Quelle: </w:t>
      </w:r>
      <w:r>
        <w:t>https://mcp.opencaselaw.ch/entscheid/ge_gerichte_ATAS_1320_2008</w:t>
      </w:r>
    </w:p>
    <w:p>
      <w:r>
        <w:t>FR: GE_GERICHTE ATAS/1320/2008 du 19 novembre 2008</w:t>
      </w:r>
    </w:p>
    <w:p>
      <w:r>
        <w:t>IT: GE_GERICHTE ATAS/1320/2008 del 19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1er juillet 2006 (ch. II let. c des dispositions transitoires relatives à la modification du 16 décembre 2005). Les modifications de la LAI du 6 octobre 2006 (5ème révision de la LAI), entrées en vigueur le 1er janvier 2008, sont également applicables dans le présent litige dès le 1er janvier 2008. Jusqu'à cette date, le droit aux prestations doit être déterminé en applications des anciennes dispositions.</w:t>
      </w:r>
    </w:p>
    <w:p>
      <w:r>
        <w:rPr>
          <w:b/>
        </w:rPr>
        <w:t>E. 3</w:t>
      </w:r>
    </w:p>
    <w:p>
      <w:r>
        <w:t>Interjeté dans les délai et forme prescrits par la loi, le recours est recevable (art. 56 ss LPGA).</w:t>
      </w:r>
    </w:p>
    <w:p>
      <w:r>
        <w:rPr>
          <w:b/>
        </w:rPr>
        <w:t>E. 4</w:t>
      </w:r>
    </w:p>
    <w:p>
      <w:r>
        <w:t>L'objet du litige est la question de savoir si l'assuré présente une invalidité ouvrant le droit à une rente ou à des mesures d'ordre professionnel.</w:t>
      </w:r>
    </w:p>
    <w:p>
      <w:r>
        <w:t>A/2895/2008 - 7/9 -</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A/2895/2008 - 8/9 -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8</w:t>
      </w:r>
    </w:p>
    <w:p>
      <w:r>
        <w:t>En l'occurrence, tous les médecins traitants, qui se sont exprimés sur la question, ont estimé que la capacité de travail du recourant était nulle dans n'importe quelle activité. Néanmoins, sans procéder à un examen du recourant, les médecins du SMR se sont écartés de ces avis médicaux et ont admis une pleine capacité de travail dans une activité adaptée en position assise. Une telle appréciation paraît hâtive et mal étayée, dans la mesure où les limitations du recourant ne semblent pas seulement consister en un simple blocage de la cheville, ainsi qu'une épaule "gelée". En effet, l'incapacité de travail, même dans une activité adaptée, paraît être également due aux douleurs chroniques neuropathiques, ainsi qu'à une plaie mal fermée. A cela s'ajoute que, sur la base dossier médical, il convient de reconnaître au recourant une incapacité de travail totale depuis la survenance de son accident en avril 2004 jusqu'à son rétablissement de l'intervention effectuée en avril 2007, lorsqu'il a fait l'objet d'une greffe d'un lambeau musculaire. L'intimé aurait dès lors dû lui accorder au moins une rente limitée dans le temps. Cela étant, il appert que l'instruction du dossier est manifestement incomplète. Aussi convient-il de renvoyer le dossier à l'intimé pour la mise en œuvre d'une expertise médicale par un expert indépendant et nouvelle décision.</w:t>
      </w:r>
    </w:p>
    <w:p>
      <w:r>
        <w:rPr>
          <w:b/>
        </w:rPr>
        <w:t>E. 9</w:t>
      </w:r>
    </w:p>
    <w:p>
      <w:r>
        <w:t>Au vu de ce qui précède, le recours sera admis.</w:t>
      </w:r>
    </w:p>
    <w:p>
      <w:r>
        <w:rPr>
          <w:b/>
        </w:rPr>
        <w:t>E. 10</w:t>
      </w:r>
    </w:p>
    <w:p>
      <w:r>
        <w:t>L'intimé qui succombe sera condamné à un émolument de justice de 300 fr.</w:t>
      </w:r>
    </w:p>
    <w:p>
      <w:r>
        <w:t>A/2895/2008 - 9/9 -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