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ATAS/131/2014 vom 29. Januar 2014</w:t>
      </w:r>
    </w:p>
    <w:p>
      <w:r>
        <w:t>GE Cour de justice, 2014-01-29, FR</w:t>
      </w:r>
    </w:p>
    <w:p>
      <w:r>
        <w:rPr>
          <w:b/>
        </w:rPr>
        <w:t xml:space="preserve">Quelle: </w:t>
      </w:r>
      <w:r>
        <w:t>https://mcp.opencaselaw.ch/entscheid/ge_gerichte_ATAS_131_2014</w:t>
      </w:r>
    </w:p>
    <w:p>
      <w:r>
        <w:t>FR: GE_GERICHTE ATAS/131/2014 du 29 janvier 2014</w:t>
      </w:r>
    </w:p>
    <w:p>
      <w:r>
        <w:t>IT: GE_GERICHTE ATAS/131/2014 del 29 gennaio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3</w:t>
      </w:r>
    </w:p>
    <w:p>
      <w:r>
        <w:t>Est litigieuse en l'espèce la question de savoir si la recourante a droit aux prestations complémentaires fédérales et cantonales, singulièrement s'il y a lieu de prendre en considération pour elle et son époux un gain potentiel.</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5</w:t>
      </w:r>
    </w:p>
    <w:p>
      <w:r>
        <w:t>Par dessaisissement, il faut entendre, en particulier, la renonciation à des éléments de revenu ou de fortune sans obligation juridique ni contre-prestation équivalente</w:t>
      </w:r>
    </w:p>
    <w:p>
      <w:r>
        <w:t>A/2886/2013 - 5/8 -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w:t>
      </w:r>
    </w:p>
    <w:p>
      <w:r>
        <w:rPr>
          <w:b/>
        </w:rPr>
        <w:t>E. 6</w:t>
      </w:r>
    </w:p>
    <w:p>
      <w:r>
        <w:t>La situation des assurés partiellement invalides exerçant une activité lucrative est réglée à l'art. 14a OPC-AVS/AI.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 AVS/AI), au montant maximum destiné à la couverture des besoins vitaux selon la lettre a, pour un taux d'invalidité de 50 à moins de 60 % (art. 14a al. 2 let. b OPC- AVS/AI) et aux deux tiers du montant maximum destiné à la couverture des besoins vitaux des personnes seules selon la lettre a, pour un taux d'invalidité de 60 à moins de 70 % (art. 14a al. 2 let. c OPC-AVS/AI; ATF non publié 8C_655/2007 du 26 juin 2008, consid. 5.1).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(ATF non publié 8C_655/2007 du 26 juin 2008, consid. 5.2 et les références).</w:t>
      </w:r>
    </w:p>
    <w:p>
      <w:r>
        <w:t>A/2886/2013 - 6/8 -</w:t>
      </w:r>
    </w:p>
    <w:p>
      <w:r>
        <w:rPr>
          <w:b/>
        </w:rPr>
        <w:t>E. 7</w:t>
      </w:r>
    </w:p>
    <w:p>
      <w:r>
        <w:t>En l'occurrence, une capacité de travail à 50% a été précédemment reconnue à la recourante dans son activité habituelle de secrétaire par l'OAI, raison pour laquelle celle-ci n'a pu bénéficier que d'une demi-rente d'invalidité. Par la suite, dans le cadre des révisions entamées par l'OAI, elle a affirmé que son état de santé était resté stationnaire. Le Dr L___________ l'a confirmé le 23 novembre 2012. Le 15 mai 2013, il a attesté une capacité de travail de 50%. Il n'y a par ailleurs aucune demande de révision de la rente d'invalidité en cours. A cela s'ajoute, que la recourante n'a pas démontré qu'il est impossible de retrouver un travail à 50% en tant que secrétaire. Cela étant, il y a lieu d'admettre, sur la base de la décision de l'OAI, que la recourante dispose d'une capacité de travail à 50%, de sorte que l'intimé était fondé à prendre en considération un gain potentiel pour celle-ci.</w:t>
      </w:r>
    </w:p>
    <w:p>
      <w:r>
        <w:rPr>
          <w:b/>
        </w:rPr>
        <w:t>E. 8</w:t>
      </w:r>
    </w:p>
    <w:p>
      <w:r>
        <w:t>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e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ATF non publié 8C_470/2008 du 29 janvier 2009, consid. 3 et les références). L'obligation faite au conjoint d'exercer une activité lucrative s'impose en particulier lorsque l'autre conjoint n'est pas en mesure de le faire à raison de son invalidité parce qu'il incombe à chacun de contribuer à l'entretien et aux charges du ménage. Dès lors que le conjoint du requérant y renonce, il y a lieu de prendre en compte un revenu hypothétique après une période dite d'adaptation (ATFA non publié P 40/03 du 9 février 2005, consid. 4.2).</w:t>
      </w:r>
    </w:p>
    <w:p>
      <w:r>
        <w:rPr>
          <w:b/>
        </w:rPr>
        <w:t>E. 9</w:t>
      </w:r>
    </w:p>
    <w:p>
      <w:r>
        <w:t>En l'occurrence, une incapacité de travail du conjoint de la recourante entre 50 et 100% est attestée depuis octobre 2012. Par ailleurs, l'expert constate le 19 octobre</w:t>
      </w:r>
    </w:p>
    <w:p>
      <w:r>
        <w:t>A/2886/2013 - 7/8 - 2012, jour de l'expertise, que la capacité de travail est nulle en raison d'un trouble dépressif sévère. Il admet toutefois un recouvrement de la capacité de travail à 50% dès le 26 novembre et à 100% dès le 24 décembre 2012, considérant qu'un nouveau traitement médicamenteux permettrait d'obtenir une rémission significative des symptômes et même une guérison complète. Cependant, ce pronostic ne s'est pas réalisé. En effet, le traitement n'a pas pu être changé dans le sens préconisé par l'expert, comme cela est attesté par la Dresse N___________. Celle-ci continue par ailleurs à attester une incapacité de travail totale. Par conséquent, il sied d'admettre que le conjoint de la recourante n’a aucune capacité de travail, de sorte que l'intimé ne pouvait pas retenir un gain potentiel.</w:t>
      </w:r>
    </w:p>
    <w:p>
      <w:r>
        <w:rPr>
          <w:b/>
        </w:rPr>
        <w:t>E. 10</w:t>
      </w:r>
    </w:p>
    <w:p>
      <w:r>
        <w:t>Quant à la contestation de l'épargne, cette question est sans importance pour le calcul des prestations complémentaires, dès lors que l'intimé n'a pris en considération aucune fortune et uniquement des intérêts de l'épargne insignifiants, soit de 0,05 fr.</w:t>
      </w:r>
    </w:p>
    <w:p>
      <w:r>
        <w:rPr>
          <w:b/>
        </w:rPr>
        <w:t>E. 11</w:t>
      </w:r>
    </w:p>
    <w:p>
      <w:r>
        <w:t>Dans la mesure où la recourante n'a pas contesté les autres paramètres du calcul de l'intimé, il appert, sur la base de ceux-ci, que son revenu déterminant pour les prestations complémentaires fédérales est de 31'342 fr. (12'132 fr. + 19'210 fr.). Partant, le découvert, par rapport aux dépenses reconnues de 43'815 fr., est de 12'473 fr., ce qui correspond ainsi aux prestations complémentaires fédérales annuelles dues. Au niveau cantonal, le revenu déterminant s'établit à 43'815 (prestations fédérales de 12'473 fr. + revenu déterminant de 31'342 fr.). Compte tenu des dépenses reconnues au niveau cantonal de 53'333 fr., le montant annuel des prestations complémentaires cantonales s'élève à 9'519 fr.</w:t>
      </w:r>
    </w:p>
    <w:p>
      <w:r>
        <w:rPr>
          <w:b/>
        </w:rPr>
        <w:t>E. 12</w:t>
      </w:r>
    </w:p>
    <w:p>
      <w:r>
        <w:t>Au vu de ce qui précède, le recours sera partiellement admis et la décision querellée annulée en ce qu'elle a refusé à la recourante les prestations complémentaires fédérales et cantonales. Celle-ci sera par ailleurs mise au bénéfice de prestations complémentaires fédérales de 12'473 fr. par an et de prestations complémentaires cantonales de 9'519 fr. par an.</w:t>
      </w:r>
    </w:p>
    <w:p>
      <w:r>
        <w:rPr>
          <w:b/>
        </w:rPr>
        <w:t>E. 13</w:t>
      </w:r>
    </w:p>
    <w:p>
      <w:r>
        <w:t>La recourante obtenant partiellement gain de cause, une indemnité de 800 fr. lui est accordée à titre de dépens.</w:t>
      </w:r>
    </w:p>
    <w:p>
      <w:r>
        <w:t>A/2886/2013 - 8/8 - PAR CES MOTIFS, LA CHAMBRE DES ASSURANCES SOCIALES : Statuant A la forme : 1. Déclare le recours recevable. Au fond : 2. L'admet partiellement. 3. Annule la décision sur opposition du 9 juillet 2013, en ce qu'elle a refusé à la recourante les prestations complémentaires fédérales et cantonales, et la confirme pour le surplus. 4. Met la recourante au bénéfice de prestations complémentaires fédérales de 12'473 fr. par an et de prestations complémentaires cantonales de 9'519 fr. par an. 5. Condamne l'intimé à verser à la recourante une indemnité de 800 fr. à titre de dépens.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