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ATAS/131/2013 vom 5. Februar 2013</w:t>
      </w:r>
    </w:p>
    <w:p>
      <w:r>
        <w:t>GE Cour de justice, 2013-02-05, FR</w:t>
      </w:r>
    </w:p>
    <w:p>
      <w:r>
        <w:rPr>
          <w:b/>
        </w:rPr>
        <w:t xml:space="preserve">Quelle: </w:t>
      </w:r>
      <w:r>
        <w:t>https://mcp.opencaselaw.ch/entscheid/ge_gerichte_ATAS_131_2013</w:t>
      </w:r>
    </w:p>
    <w:p>
      <w:r>
        <w:t>FR: GE_GERICHTE ATAS/131/2013 du 5 février 2013</w:t>
      </w:r>
    </w:p>
    <w:p>
      <w:r>
        <w:t>IT: GE_GERICHTE ATAS/131/2013 del 5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 LAI dans sa teneur dès le 1er janvier 2008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t>A/1903/2012 - 13/21 -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taux d'invalidité de l'assurée, singulièrement sur sa capacité de travail résiduelle, sur les empêchements ménagers et l'aide exigible de la famille.</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A/1903/2012 - 14/21 - description des interférences médicales soit claire et enfin que les conclusions de l'expert soient bien motivées (ATF 125 V 351 consid. 3). d)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7</w:t>
      </w:r>
    </w:p>
    <w:p>
      <w:r>
        <w:t>a)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w:t>
      </w:r>
    </w:p>
    <w:p>
      <w:r>
        <w:t>A/1903/2012 - 15/21 -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La tenue d’un ménage privé permet des adaptations de l’activité aux problèmes physiques qui ne sont pas nécessairement compatibles avec les exigences de rendement propres à l’exercice similaire dans un contexte professionnel (ATF non publié du 13 avril 2005, I 593/03,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Lorsqu'il s'agit d'évaluer l'invalidité d'un assuré dans l'accomplissement de ses tâches ménagères, un empêchement ne peut être pris en compte que si la personne handicapée ne parvient plus à exécuter la tâche en question et si cette tâche doit être confiée à des tiers rétribués ou à des proches qui enregistrent de ce fait une perte de gain ou pour lesquels cela représente une charge disproportionnée (Meyer-Blaser, Bundesgesetz über die Invalidenversicherung [IVG], Zurich 1997, p. 223).</w:t>
      </w:r>
    </w:p>
    <w:p>
      <w:r>
        <w:t>A/1903/2012 - 16/21 - c) Pour évaluer le taux d'invalidité dans la sphère professionnelle,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On ajoutera enfin que le Tribunal fédéral a rendu une décision de principe, selon laquelle il convient de ne pas prendre en considération les données salariales régionales telles qu’elles ressortent de la table TA13 de l’ESS lors de la détermination du revenu hypothétique d’invalide (GG 10111/05). Cette décision de principe vaut également pour les données issues des « salaires d’usage par branche dans 7 régions suisses » de l’USS (ATF non publié du 22 août 2006, I 424/05). On rappellera en outre qu’il est tenu compte des empêchements propres à la personne</w:t>
      </w:r>
    </w:p>
    <w:p>
      <w:r>
        <w:t>A/1903/2012 - 17/21 - de l’invalide dans le cadre d’une évaluation globale, pouvant aboutir à un abattement maximum de 25%, destinée à déterminer un revenu qui représente au mieux la mise en valeur économique exigible des activités compatibles avec la capacité de travail résiduelle de l’assuré (ATF 126 V 75 consid. 5).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En l'espèce, l'évaluation de l'invalidité selon la méthode mixte n'est à juste titre pas contestée, l'assurée ayant travaillé en dernier lieu à 62 %, de sorte qu'il convient d'examiner séparément les conséquences de l'atteinte à la santé sur l'activité professionnelle et ménagère, puis procéder à une comparaison des revenus sur le plan professionnel. En premier lieu, la Cour retient que l'expertise pratiquée par les Drs D_________- et E________ est probante. Elle est fondée sur l'ensemble des pièces du dossier, tient compte et relativise les plaintes de la patiente eu égard à l'absence de signe algique spontané et à la majoration des symptômes relevée par les deux experts, et procède à des constatations objectives somatiques et psychiatriques précises, tout en commentant les imageries et leur évolution. Du point de vue somatique, l'experte relève l'absence de déficit neurologique et contrairement à ce que soutient l'assurée, elle a tenu compte de l'atteinte dégénérative du rachis. De même, le rapport du Dr G________ confirme l'existence des atteintes dégénératives étagées du dos déjà relevées par l'experte et leurs deux avis se rejoignent sur l'absence de syndrome radiculaire, preuve en est que le Dr G________ écarte l'éventualité d'une intervention, mais préconise seulement la poursuite du traitement conservateur. Le SMR relève ainsi à juste titre qu'il n'y a pas d'aggravation significative de l'état de</w:t>
      </w:r>
    </w:p>
    <w:p>
      <w:r>
        <w:t>A/1903/2012 - 18/21 - santé, ce que l'experte a clairement confirmé, en particulier du point de vue lombaire. Pour le surplus, les conclusions des experts sont motivées et nuancées. Ils retiennent ainsi une totale incapacité de travail en tant que nettoyeuse, mais une capacité de travail de 60% dans une activité respectant les limitations fonctionnelles précisément décrites. A cet égard, l'avis du Dr C_________ de mai 2010 n'est pas divergent, dès lors qu'il retient une capacité de travail de 50% dans l'activité habituelle semble-t-il, donc a fortiori dans une activité adaptée, en relavant un potentiel d'amélioration de cette capacité. Quant au Dr B_________, il estime comme l'experte que l'activité habituelle n'est plus exigible, mais qu'une activité permettant l'alternance des positions est possible, sans se prononcer sur le taux de cette capacité de travail résiduelle. Les avis de la Dresse A_________ ne peuvent pas être pris en considération, ne serait-ce que parce que sur la base de constatations strictement identiques, elle préconise d'abord d'aider sa patiente à retrouver du travail (13 décembre 2011) puis affirme une totale et complète incapacité dans toute activité (22 décembre 2011), sans aucune motivation. De même, son appréciation de la capacité de travail de sa patiente et l'aggravation retenue sont uniquement fondées sur les plaintes de l'assurée, sans substrat organique, comme relevé par l'experte et le Dr G________. Du point de vue psychiatrique, aucune atteinte invalidante n'a été retenue, l'assurée n'est d'ailleurs pas suivie et l'aggravation de la dépression relevée uniquement par la Dresse A_________ n'est pas documentée. Il est donc établi que l'assurée dispose d'une capacité de travail de 60% dans une activité légère, adaptée à ses limitations. En deuxième lieu, la recourante ne conteste que le salaire avec invalidité. Celui sans invalidité correspond au salaire réalisé en 2008 (38'220 fr.) réévalué à 2010 (38'624 fr.), ce qui est à son avantage, car jusqu'en 2008, elle ne travaillait que pour X__________ SA pour un revenu de l'ordre de 24'000 fr. A cet égard, on ne discerne pas pourquoi l'OAI ne réévalue plus en 2010 le revenu 2008, dans son calcul du 2 novembre 2012, alors qu'il le faisait conformément à la jurisprudence constante, à l'appui de la décision litigieuse. Celui avec invalidité est fondé sur l'ESS 2008, TA1, général, niveau 4 réévalué à 2010, à 60% (31'637 fr), ce qui est aussi conforme à la jurisprudence, qui exclut le recours à des tabelles plus spécifiques. L'OAI a retenu un abattement de 10% dans son nouveau calcul du 2 novembre 2012. Compte tenu de l'âge de l'assurée lors de la décision (54 ans), du fait qu'elle exerce la même activité de nettoyeuse depuis 27 ans, de l'activité légère seule possible et des limitations fonctionnelles, critères retenus par l'OAI, un abattement de 20% et non pas seulement de 10% se justifie, de sorte que le revenu avec invalidité est de 25'310 fr. Le taux d'invalidité du point de vue professionnel est donc de 34,4 %. En troisième lieu, la Cour estime que l'enquête sur le ménage est également probante. L'enquêtrice a tenu compte des limitations de l'assurée dans tous les domaines concernés, de façon relativement généreuse, en conformité des constatations médicales. Après les correctifs apportés par l'OAI le 20 novembre</w:t>
      </w:r>
    </w:p>
    <w:p>
      <w:r>
        <w:t>A/1903/2012 - 19/21 - 2012, il s'avère ainsi que des empêchements retenus sont de 71% pour le nettoyage, 37% pour la lessive et de 27% pour l'alimentation. La recourante n'expose pas en quoi ces constatations seraient inexactes, étant précisé que les limitations fonctionnelles médicalement retenues ne l'empêchent pas de passer la poussière et nettoyer les lavabo et toilettes (71% d'empêchement retenus correspondent à la majeure partie du ménage); étendre la lessive, la plier et la ranger (37% d'empêchement retenus sont suffisants pour remplir, vider la machine et repasser ce qui doit l'être); faire des courses légères, éplucher et couper les légumes, cuisiner, nettoyer la table et le plan de travail, remplir la machine, faire une vaisselle légère, soit l'essentiel de l'alimentation, seul le nettoyage de la cuisine étant exclu (27% d'empêchement retenus). Il apparaît ainsi que les empêchements ont été correctement évalués. A cela s'ajoute que les explications complémentaires de l'OAI ont permis de déterminer précisément comment l'aide de la famille est calculée, ce qui est tout à fait cohérent. On retranche de l'empêchement de l'assurée, la part de l'activité que l'un ou l'autre des membres de la famille peut effectuer (71% - 30%; 37 %- 30% et 27% - 27%). La recourante conteste l'aide exigible retenue pour les membres de la famille pour deux motifs. D'une part, elle fait valoir que la vie commune avec ses filles n'est que provisoire et liée à sa situation économique. Elle a indiqué que les deux filles aidaient déjà au paiement du loyer familial avant 2008 (CP de comparution personnelle) et il est possible que le salaire afférent au second emploi de l'assurée dès février 2008 ait permis - ou nécessité - le départ de l'aînée du domicile conjugal en juillet 2008. Sans remettre en cause les difficultés financières éprouvées lorsque le paiement du salaire de femme de ménage a pris fin (octobre 2009) et le souhait de l'assurée (et vraisemblablement de ses filles) de vivre indépendamment, il s'avère toutefois que le déménagement du reste de la famille (15 décembre 2009) a pratiquement été concomitant avec la date à laquelle l'aînée a trouvé un logement indépendant (novembre 2009), alors que la taille des deux logements est similaire et que la mémoire défaillante de l'assurée s'agissant du coût respectif des loyers et des revenus de ses filles est étonnante, car elle connait précisément les revenus de son mari. Surtout, c'est la situation familiale concrète qui est déterminante et aussi longtemps que l'assurée et son époux vivent avec leurs deux filles, il est exigible de celles-ci qu'elle participent de façon étendue au ménage, conformément à la jurisprudence assez stricte à ce sujet. Ainsi, 30% d'exigibilité pour deux jeunes femmes, qui ne sont pas atteintes dans leur santé, est tout à fait raisonnable et ce n'est que lorsqu'elles ne feront plus ménage commun avec leurs parents qu'une demande de révision pourra être déposée pour ce motif. D'autre part, l'assurée indique que le chômage de sa fille aînée est provisoire, de sorte que l'exigibilité sera ensuite moindre. Cela n'est pas établi, car les 30% retenus se répartissent entre les deux filles et l'époux de l'assurée, étant rappelé que ce sont essentiellement les travaux de ménage, une partie de la lessive et une partie de l'alimentation qui leur</w:t>
      </w:r>
    </w:p>
    <w:p>
      <w:r>
        <w:t>A/1903/2012 - 20/21 - est dévolue, activités qui peuvent être effectuées le soir et le samedi, en alternance entre les membres de la famille et qui, même en l'absence de l'assurée qui occupe le salon, devraient être faites par les deux filles. La Cour retiendra ainsi le taux d'invalidité ménager admis par l'enquête tel que corrigé par l'OAI de 9,6%. Au total donc le taux d'invalidité se calcule ainsi: - part professionnelle: 62% x 34,4 % = 21,33% - part ménagère: 38 % x 9,6% = 3, 65% - total: 24,98% Au vu de ce taux d'invalidité, l'assurée pourrait théoriquement prétendre à une mesure de reclassement, voire à une autre mesure professionnelle, mais il n'est pas nécessaire d'examiner si les autres conditions en sont réalisées, dès lors que l'assurée s'estime totalement incapable de toute activité et qu'elle a refusé la proposition faite par la Cour de tenter une orientation et une aide au placement lors de la comparution personnelle. Pour le surplus, ce taux d'invalidité n'ouvre pas le droit à une rente d'invalidité.</w:t>
      </w:r>
    </w:p>
    <w:p>
      <w:r>
        <w:rPr>
          <w:b/>
        </w:rPr>
        <w:t>E. 10</w:t>
      </w:r>
    </w:p>
    <w:p>
      <w:r>
        <w:t>Au vu de ce qui précède, le recours sera rejeté. Etant donné que depuis le 1er juillet 2006, la procédure n'est plus gratuite (art. 69 al. 1bis LAI), il y a lieu de condamner la recourante au paiement d'un émolument de 200 fr.</w:t>
      </w:r>
    </w:p>
    <w:p>
      <w:r>
        <w:t>A/1903/2012 - 21/21 -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