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ATAS/131/2012 vom 14. Februar 2012</w:t>
      </w:r>
    </w:p>
    <w:p>
      <w:r>
        <w:t>GE Cour de justice, 2012-02-14, FR</w:t>
      </w:r>
    </w:p>
    <w:p>
      <w:r>
        <w:rPr>
          <w:b/>
        </w:rPr>
        <w:t xml:space="preserve">Quelle: </w:t>
      </w:r>
      <w:r>
        <w:t>https://mcp.opencaselaw.ch/entscheid/ge_gerichte_ATAS_131_2012</w:t>
      </w:r>
    </w:p>
    <w:p>
      <w:r>
        <w:t>FR: GE_GERICHTE ATAS/131/2012 du 14 février 2012</w:t>
      </w:r>
    </w:p>
    <w:p>
      <w:r>
        <w:t>IT: GE_GERICHTE ATAS/131/2012 del 14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t>A/3235/2011 - 11/19 -</w:t>
      </w:r>
    </w:p>
    <w:p>
      <w:r>
        <w:rPr>
          <w:b/>
        </w:rPr>
        <w:t>E. 3</w:t>
      </w:r>
    </w:p>
    <w:p>
      <w:r>
        <w:t>Interjeté dans les formes et délai prévus par la loi, le présent recours est recevable (art. 56 à 61 LPGA).</w:t>
      </w:r>
    </w:p>
    <w:p>
      <w:r>
        <w:rPr>
          <w:b/>
        </w:rPr>
        <w:t>E. 4</w:t>
      </w:r>
    </w:p>
    <w:p>
      <w:r>
        <w:t>Le litige porte sur le droit du recourant à une rente supérieure à un quart de rente dès le 1er mars 2010, et singulièrement sur sa capacité de travail et le calcul du degré d’invalidité.</w:t>
      </w:r>
    </w:p>
    <w:p>
      <w:r>
        <w:rPr>
          <w:b/>
        </w:rPr>
        <w:t>E. 5</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Il convient tout d’abord de déterminer si l’état de santé du recourant s’est amélioré depuis le mois de novembre 2009, comme retenu par l’intimé.</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A/3235/2011 - 12/19 - objectivement que possible (ATF 102 V 165 ; VSI 2001 p. 224 consid. 2b et les références ; cf. aussi ATF 127 V 294 consid. 4c in fine).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un arrêt du 28 juin 2011 (ATF 137 V 210), notre Haute Cour s'est penchée sur les principes régissant les missions d'expertises confiées aux centres d'observation médicale de l'assurance-invalidité (COMAI). Cet arrêt a certes amené des modifications en matière d'examens médicaux, mais il y a lieu de souligner que les</w:t>
      </w:r>
    </w:p>
    <w:p>
      <w:r>
        <w:t>A/3235/2011 - 13/19 - changements ne concernent pas tant les expertises en tant que telles que les modalités de leur mise en œuvre afin de garantir l'égalité des armes entre autorités et assurés. Le Tribunal fédéral a ainsi modifié sa jurisprudence en ce sens qu'une expertise ordonnée par l'administration doit faire l'objet d'une décision incidente susceptible de recours, et que les droits de participation de l'assuré sont renforcés (consid. 3.4.2.6 et 3.4.2.9 de l'arrêt précité). En revanche, il a expressément relevé que l'application aux cas en cours d'instruction des nouveaux principes jurisprudentiels n'implique pas que les expertises ordonnées selon l'ancienne procédure ne peuvent se voir reconnaître de valeur probante. Au contraire, il convient en fonction des spécificités du cas et des griefs soulevés de déterminer s'il est conforme au droit de se fonder sur les moyens de preuve à disposition (consid. 6).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10</w:t>
      </w:r>
    </w:p>
    <w:p>
      <w:r>
        <w:t>En l’espèce, l’intimé a considéré que depuis le mois de février 2000, les périodes d’incapacité de travail partielle et totale se succédaient et que suite à une totale</w:t>
      </w:r>
    </w:p>
    <w:p>
      <w:r>
        <w:t>A/3235/2011 - 14/19 - incapacité de travail durant l’année 2009, l’état de santé du recourant s’est amélioré dès le 2 novembre 2009, en ce sens que sa capacité de travail était, depuis lors, de 100% dans une activité adaptée à ses limitations, avec une baisse de rendement de 25%. a) Pour arriver à cette conclusion, il s’est tout d’abord fondé sur le rapport d’expertise rhumato-psychiatrique établi en date du 12 janvier 2009 par les Drs N___________ et U__________, lesquels ont posé les diagnostics suivants : une rizarthrose à droite (pouce), une rupture du sus-épineux opéré le 3 octobre 2008, une fracture de la palette humérale intervenue en 2004 avec une discrète limitation résiduelle de la mobilité du coude gauche, des gonalgies droites sur gonarthrose débutante et une personnalité émotionnellement labile de type borderline avec des traits narcissiques et passifs-agressifs, existante depuis l’adolescence, ces diagnostics ayant tous des répercussions sur la capacité de travail, ainsi que des troubles dépressifs récurrents, actuellement en rémission et une dysthymie de longue date. Ce rapport présente pleine valeur probante au sens de la jurisprudence. En effet, ce rapport a été établi sur la base du dossier du recourant, des documents radiologiques, d’une anamnèse comprenant un volet familial, personnel, professionnel et médical, des plaintes du recourant et d’examens médicaux effectués en date des 15 et 16 octobre 2008. En outre, les experts exposent clairement leurs constatations découlant des examens et les atteintes dont souffre le recourant et leurs répercussions sur la capacité de travail. On comprend les raisons pour lesquelles les atteintes engendrent, d’une part, des limitations fonctionnelles concernant le port de charges, les mouvements répétés, les changements de positions répétés, la marche dans les escaliers et en terrain instable et d’autre part, une limitation d’un point de vue psychique liée au manque de structure de la personnalité du recourant avec une faible tolérance à la frustration et une fragilité narcissique, d’intensité légère à moyenne, en lien avec son trouble de la personnalité. Il est également compréhensible que bien que le recourant présente une capacité de travail entière dans une activité adaptée, il convient de retenir une diminution de rendement de 25% en raison des troubles psychiatriques et de 0% à 25% en raison des troubles somatiques, de sorte que ces diminutions de rendement se confondent. Enfin, la Cour de céans ne met pas en exergue d’éléments ou de circonstances permettant de douter de l’indépendance des experts, de sorte que leur rapport d’expertise doit se voir reconnaitre valeur probante au sens de la jurisprudence. b) En ce qui concerne le volet somatique, il est vrai que les conclusions des experts ont été émises sous réserve de l’évolution des atteintes de l’épaule droite, attendu qu’ils n’ont pas pu l’examiner, le recourant ayant subi une intervention gléno- humérale en date du 2 octobre 2008. Cependant, force est de constater, à cet égard, que les rapports médicaux subséquents ont permis d’établir une amélioration de ces</w:t>
      </w:r>
    </w:p>
    <w:p>
      <w:r>
        <w:t>A/3235/2011 - 15/19 - atteintes, de sorte que le rapport d’expertise garde toute sa valeur probante. D’une part, le séjour entre avril et mai 2009 auprès de la CRR a permis une amélioration tant objective que subjective des douleurs du recourant, avec notamment une amélioration de la mobilité de l’épaule droite dans tous les secteurs, et d’autre part, le Dr A__________ a estimé au mois de septembre 2009 que l’atteinte à l’épaule droite était stabilisée, avec toutefois un dommage permanent. Ce médecin a ainsi retenu des limitations en relation avec cette atteinte à l’épaule, soit une impossibilité d’effectuer des activités au dessus de l’horizontale et de porter des charges légères à moyennes bras tendus et en hauteur. Il y a également lieu de constater que l’amélioration et la stabilisation de l’état de santé a permis au recourant de reprendre son activité de postier à 50% dès le 2 novembre 2009. Pour le surplus, aucun élément au dossier ne vient remettre en cause les conclusions des experts. En particulier, les rapports du Dr V__________ ne mettent pas en exergue d’éléments ignorés par les experts et ne sont pas suffisamment motivés pour permettre de douter de leurs conclusions. c) Pour ce qui est du volet psychiatrique, le consilium psychiatrique de la CRR du 21 avril 2009 confirme en substance le rapport d’expertise, en ce sens que les troubles psychiatriques n’ont plus d’influence sur la capacité de travail. En effet, le psychiatre a noté qu’il n’existait pas de signes dépressifs relevant d’un diagnostic de trouble de l’humeur, mais que le recourant présentait une certaine fragilité dans l’estime de soi, laquelle était compensée par une tendance narcissique, étant précisé que ces éléments ne constituaient pas un obstacle significatif pour sa réadaptation ou pour une réinsertion dans le monde du travail. Quant aux rapports du Dr F__________, ils ont été pris en considération par les experts et il n’en résulte pas d’éléments déterminants, dont ces derniers n’auraient pas tenu compte. Ils ne sauraient ainsi pas remettre en cause l’appréciation des experts. d) Au vu de ce qui précède, il doit être considéré, au degré de la vraisemblance prépondérante prévu par la jurisprudence, que le recourant a recouvré, comme retenu par l’intimé, une capacité de travail entière, avec une diminution de rendement de 25%, dès le 2 novembre 2009 en tous les cas, soit dès le moment où il a repris son activité lucrative habituelle. Pour le surplus, eu égard aux rapports probants présents au dossier, la Cour de céans estime qu’il n’est pas nécessaire de mettre en œuvre une instruction complémentaire, soit en particulier d’entendre les Drs E__________ et L___________ comme le requiert le recourant.</w:t>
      </w:r>
    </w:p>
    <w:p>
      <w:r>
        <w:rPr>
          <w:b/>
        </w:rPr>
        <w:t>E. 11</w:t>
      </w:r>
    </w:p>
    <w:p>
      <w:r>
        <w:t>mars 2011.</w:t>
      </w:r>
    </w:p>
    <w:p>
      <w:r>
        <w:t>A/3235/2011 - 16/19 - A cet égard, l’intimé a indiqué qu’il examinait le dossier du recourant sous l’angle de la révision (17 LPGA) et qu’il statuerait par nouvelle décision en ce qui concerne la période postérieure au 24 janvier 2011 dès que l’instruction médicale serait terminée. Il en est pris note et il n’y a dès lors pas lieu de se prononcer, dans le cadre de la procédure de céans, sur la capacité de travail du recourant postérieurement au 24 janvier 2011.</w:t>
      </w:r>
    </w:p>
    <w:p>
      <w:r>
        <w:rPr>
          <w:b/>
        </w:rPr>
        <w:t>E. 12</w:t>
      </w:r>
    </w:p>
    <w:p>
      <w:r>
        <w:t>Reste à se déterminer sur le calcul du degré d'invalidité effectué par l'intimé. a) L’art. 28 al. 2 LAI, en vigueur depuis le 1er janvier 2008, dispose que l’assuré a droit à une rente entière s’il est invalide à 70% au moins, à trois quarts de rente s’il est invalide à 60% au moins, à une demi-rente s’il est invalide à 50% au moins ou à un quart de rente s’il est invalide à 40% au moins.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w:t>
      </w:r>
    </w:p>
    <w:p>
      <w:r>
        <w:t>A/3235/2011 - 17/19 -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En l’espèce, il a précédemment été déterminé que le recourant présente une totale incapacité de travail jusqu’au 2 novembre 2009 et que depuis lors, sa capacité de travail est entière dans une activité adaptée à ses limitations, avec une diminution de rendement de 25%. Ainsi, dans la mesure où le changement important de la capacité de travail ayant une incidence sur la capacité de gain remonte à novembre 2009, il convient de se placer en 2009 pour procéder à la comparaison des revenus (ATF non publié I 95/07 du 15 février 2008 consid. 5). Le revenu sans invalidité doit être déterminé en se fondant sur les déclarations de l’employeur du recourant, lequel a indiqué, par courriel du 3 décembre 2009, que son salaire annuel aurait été de 74'786 fr. en 2009. Pour ce qui est du revenu d’invalide, c’est à juste titre que l’intimé s’est fondé sur les salaires résultant de l’ESS. En effet, le recourant n’ayant repris une activité qu’à 50% en novembre 2009, il n’a pas mis pleinement en valeur sa capacité de travail de 100%, avec une diminution de rendement de 25%. Ainsi, d’après les ESS 2008,</w:t>
      </w:r>
    </w:p>
    <w:p>
      <w:r>
        <w:t>A/3235/2011 - 18/19 - le revenu mensuel standardisé d’un homme exerçant une activité simple et répétitive (tableau TA1, niveau de qualification 4, ligne totale, homme, part au 13ème salaire comprise) est de 4'806 francs. Ce salaire hypothétique, calculé sur la base d’un horaire hebdomadaire de travail de 40 heures, doit encore être adapté à l’horaire de travail en 2009, lequel est de 41.6 heures (cf. Tableau « durée normale du travail dans les entreprises selon la division économique » de l’Office fédéral de la statistique) et à l’indice suisse des salaires nominaux (ISS ; en 2008 : 2'092 et en 2009 : 2'136). On obtient ainsi un revenu annuel brut de 61'240 fr. 39, soit en tenant compte d’une diminution de rendement de 25%, de 45'930 fr. 30. En outre, l’OAI a fixé l’abattement à 10%, afin de tenir compte des limitations fonctionnelles du recourant et des années de service. En l’absence de réalisation des autres critères, la Cour de céans ne saurait s’écarter de cette appréciation, laquelle tient suffisamment compte des deux critères suscités. En prenant en considération en abattement de 10%, le revenu avec invalidité 2010 du recourant est de 41'337 fr. 30. Partant, son degré d’invalidité est de 45% ((74’786-41'337.3) x 100 / 74'786), taux ouvrant le droit à un quart de rente. Pour le surplus, même si on tenait compte du revenu de l’activité de coursier, exercée à 75%, la solution du litige ne s’en trouverait pas modifiée. Dès lors, les conditions de la révision du droit à une rente entière d’invalidité sont réunies pour diminuer, dès le 1er mars 2010, le droit du recourant à un quart de rente (88a al. 1 RAI).</w:t>
      </w:r>
    </w:p>
    <w:p>
      <w:r>
        <w:rPr>
          <w:b/>
        </w:rPr>
        <w:t>E. 14</w:t>
      </w:r>
    </w:p>
    <w:p>
      <w:r>
        <w:t>Le recours, mal fondé, devra ainsi être rejeté. La procédure de recours en matière de contestations portant sur l’octroi ou le refus de prestations de l’AI étant soumise à des frais de justice (art. 69 al. 1bis LAI), un émolument de 200 fr. sera mis à la charge du recourant.</w:t>
      </w:r>
    </w:p>
    <w:p>
      <w:r>
        <w:t>A/3235/2011 - 19/19 -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