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ATAS/131/2008 vom 16. Oktober 2007</w:t>
      </w:r>
    </w:p>
    <w:p>
      <w:r>
        <w:t>GE Cour de justice, 2007-10-16, FR</w:t>
      </w:r>
    </w:p>
    <w:p>
      <w:r>
        <w:rPr>
          <w:b/>
        </w:rPr>
        <w:t xml:space="preserve">Quelle: </w:t>
      </w:r>
      <w:r>
        <w:t>https://mcp.opencaselaw.ch/entscheid/ge_gerichte_ATAS_131_2008</w:t>
      </w:r>
    </w:p>
    <w:p>
      <w:r>
        <w:t>FR: GE_GERICHTE ATAS/131/2008 du 16 octobre 2007</w:t>
      </w:r>
    </w:p>
    <w:p>
      <w:r>
        <w:t>IT: GE_GERICHTE ATAS/131/2008 del 16 ottobre 2007</w:t>
      </w:r>
    </w:p>
    <w:p>
      <w:pPr>
        <w:pStyle w:val="Heading2"/>
      </w:pPr>
      <w:r>
        <w:t>Erwägungen</w:t>
      </w:r>
    </w:p>
    <w:p>
      <w:r>
        <w:rPr>
          <w:b/>
        </w:rPr>
        <w:t>E. 1</w:t>
      </w:r>
    </w:p>
    <w:p>
      <w:r>
        <w:t>La compétence ratione materiae du Tribunal de céans a déjà été examinée et admise.</w:t>
      </w:r>
    </w:p>
    <w:p>
      <w:r>
        <w:rPr>
          <w:b/>
        </w:rPr>
        <w:t>E. 2</w:t>
      </w:r>
    </w:p>
    <w:p>
      <w:r>
        <w:t>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w:t>
      </w:r>
    </w:p>
    <w:p>
      <w:r>
        <w:t>A/4589/2005 - 5/6 -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3</w:t>
      </w:r>
    </w:p>
    <w:p>
      <w:r>
        <w:t>Lorsque le tribunal estime que le motif de révision est établi, il doit annuler totalement ou partiellement l'arrêt rendu et statuer à nouveau au fond (cf. BOVAY, Procédure administrative, éd. Staempfli, p. 441).</w:t>
      </w:r>
    </w:p>
    <w:p>
      <w:r>
        <w:rPr>
          <w:b/>
        </w:rPr>
        <w:t>E. 4</w:t>
      </w:r>
    </w:p>
    <w:p>
      <w:r>
        <w:t>Dans le cas d'espèce, il apparaît clairement que la juridiction de céans n'a pas statué, par inadvertance, sur certaines conclusions, en l'occurrence sur les intérêts réclamés sur le capital, à raison de 5 % depuis le mois de mai 1999. Cependant, il apparaît tout aussi clairement que la condition de recevabilité de la demande en révision n'est pas remplie, puisque l'arrêt contesté n'est pas définitif. Les demandeurs ne l'ignorent d'ailleurs pas puisqu'ils ont pris des conclusions par devant le Tribunal fédéral en suspension de la cause dans l'attente du jugement sur le fond. Toutefois, le Tribunal fédéral en a décidé autrement. La présente demande en révision doit donc être déclarée irrecevable.</w:t>
      </w:r>
    </w:p>
    <w:p>
      <w:r>
        <w:t>A/4589/2005 - 6/6 -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