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ATAS/1319/2012 vom 1. November 2012</w:t>
      </w:r>
    </w:p>
    <w:p>
      <w:r>
        <w:t>GE Cour de justice, 2012-11-01, FR</w:t>
      </w:r>
    </w:p>
    <w:p>
      <w:r>
        <w:rPr>
          <w:b/>
        </w:rPr>
        <w:t xml:space="preserve">Quelle: </w:t>
      </w:r>
      <w:r>
        <w:t>https://mcp.opencaselaw.ch/entscheid/ge_gerichte_ATAS_1319_2012</w:t>
      </w:r>
    </w:p>
    <w:p>
      <w:r>
        <w:t>FR: GE_GERICHTE ATAS/1319/2012 du 1 novembre 2012</w:t>
      </w:r>
    </w:p>
    <w:p>
      <w:r>
        <w:t>IT: GE_GERICHTE ATAS/1319/2012 del 1 novembre 2012</w:t>
      </w:r>
    </w:p>
    <w:p>
      <w:pPr>
        <w:pStyle w:val="Heading2"/>
      </w:pPr>
      <w:r>
        <w:t>Erwägungen</w:t>
      </w:r>
    </w:p>
    <w:p>
      <w:r>
        <w:rPr>
          <w:b/>
        </w:rPr>
        <w:t>E. 1</w:t>
      </w:r>
    </w:p>
    <w:p>
      <w:r>
        <w:t>Conformément à l'art. 134 al. 1 let. a ch. 2 de la loi sur l'organisation judiciaire, du 26 septembre 2010 (LOJ; RS E 2 05) en vigueur dès le 1er janvier 2011, la</w:t>
      </w:r>
    </w:p>
    <w:p>
      <w:r>
        <w:t>A/3586/2011 - 6/11 -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la forme prévue par la loi (art. 56 ss LPGA), le recours a été déposé au guichet dans le délai de 30 jours prévu à l'art. 60 LPGA). Il est dès lors recevable.</w:t>
      </w:r>
    </w:p>
    <w:p>
      <w:r>
        <w:rPr>
          <w:b/>
        </w:rPr>
        <w:t>E. 4</w:t>
      </w:r>
    </w:p>
    <w:p>
      <w:r>
        <w:t>Le litige porte sur la question de savoir si c’est à juste titre que l’intimé à nié au recourant le droit à des prestations sur la base des éléments médicaux recueillis en dépit de l’absence de collaboration de l’intéressé.</w:t>
      </w:r>
    </w:p>
    <w:p>
      <w:r>
        <w:rPr>
          <w:b/>
        </w:rPr>
        <w:t>E. 5</w:t>
      </w:r>
    </w:p>
    <w:p>
      <w:r>
        <w:t>En vertu de l’art. 43 LPGA, si un assuré refuse de manière inexcusable de se conformer à son obligation de renseigner ou de collaborer à l’instruction, l’assureur peut - après avoir adressé à l’intéressé une mise en demeure écrite l’avertissant des conséquences juridique et lui avoir imparti un délai de réflexion convenable - se prononcer en l’état du dossier ou clore l’instruction et décider de ne pas entrer en matière. En l’espèce, cependant, les éléments médicaux recueillis permettent de penser que l’attitude du recourant et son absence de collaboration sont imputables, précisément à son problème d’addiction à l’alcool et non à sa seule mauvaise volonté, de sorte que l’on peut douter du caractère inexcusable de son comportement On ne saurait cependant reprocher à l’OAI d’avoir statué sur la base du dossier au vu de l’échec de ses tentatives pour mettre sur pied une expertise. Encore faut-il</w:t>
      </w:r>
    </w:p>
    <w:p>
      <w:r>
        <w:t>A/3586/2011 - 7/11 - vérifier si c’est à juste titre que l’intimé, au vu des documents médicaux recueillis en dépit de l’attitude du recourant, a rejeté la demande de ce dernier.</w:t>
      </w:r>
    </w:p>
    <w:p>
      <w:r>
        <w:rPr>
          <w:b/>
        </w:rPr>
        <w:t>E. 6</w:t>
      </w:r>
    </w:p>
    <w:p>
      <w:r>
        <w:t>En vertu de l'art. 28 al. 1er LAI, dans sa teneur dès le 1er janvier 2008, l'assuré a droit à une rente d'invalidité aux conditions suivantes: sa capacité de gain ou sa capacité d'accomplir ses travaux habituels ne peut être rétablie, maintenue ou améliorée par des mesures de réadaptation raisonnablement exigibles (let. a); il a présenté une incapacité de travail d'au moins 40 % en moyenne durant une année sans interruption notable (let. b); au terme de cette année, il est invalide à 40 % au moins (let. c). L'art. 28 al. 2 LAI prévoit que l'assuré a droit à une rente entière s'il est invalide à 70 % au moins, à trois quarts de rente s'il est invalide à 60 % au moins, à une demi- 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si 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du 9 avril 2001, I 654/00, consid. 1; Meyer- Blaser, Bundesgesetz über die Invalidenversicherung, Zurich 1997, p. 8).</w:t>
      </w:r>
    </w:p>
    <w:p>
      <w:r>
        <w:rPr>
          <w:b/>
        </w:rPr>
        <w:t>E. 7</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w:t>
      </w:r>
    </w:p>
    <w:p>
      <w:r>
        <w:t>A/3586/2011 - 8/11 -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du 29 septembre 2008, 9C_405/2008, consid. 3.2). d) La garantie constitutionnelle du droit d'être entendu confère notamment à un justiciable le droit de faire administrer des preuves essentielles (ATF 127 V 431, consid. 3a). Ce droit n'empêche cependant pas l'autorité de mettre un terme à</w:t>
      </w:r>
    </w:p>
    <w:p>
      <w:r>
        <w:t>A/3586/2011 - 9/11 -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 2000, 2ème éd., Zurich 2009, n.72 ad art. 61).</w:t>
      </w:r>
    </w:p>
    <w:p>
      <w:r>
        <w:rPr>
          <w:b/>
        </w:rPr>
        <w:t>E. 9</w:t>
      </w:r>
    </w:p>
    <w:p>
      <w:r>
        <w:t>a) De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qu'elle résulte elle-même d'une atteinte à la santé physique, mentale ou psychique qui a valeur de maladie (ATF du 24 février 2010, 9C_960/2009, consid. 2.2; ATF 124 V 265, consid. 3c). b) Les atteintes à la santé psychique peuvent, comme les atteintes physiques, entraîner une invalidité au sens de l’art. 4 al. 1er LAI. On ne considère cependant pas comme des conséquences d’un état psychique maladif, donc pas comme des affections à prendre en charge par l’assurance-invalidité, les diminutions de la capacité de gain que l’assuré pourrait empêcher en faisant preuve de bonne volonté. Il n’y a en effet incapacité de gain que si l’atteinte à la santé n’est pas objectivement surmontable (art. 7 al. 2, 2ème phrase LPGA); la mesure de ce qui est exigible doit donc être déterminée aussi objectivement que possible (ATF 127 V 294 consid. 4c; ATF 102 V 165).</w:t>
      </w:r>
    </w:p>
    <w:p>
      <w:r>
        <w:rPr>
          <w:b/>
        </w:rPr>
        <w:t>E. 10</w:t>
      </w:r>
    </w:p>
    <w:p>
      <w:r>
        <w:t>En l’espèce, force est de constater que l’expertise envisagée par l’intimé pour éclaircir la question de savoir si l’alcoolisme du recourant avait entraîné une atteinte à la santé physique, mentale ou psychique invalidante ou résultait lui-même d’une telle atteinte n’a pu être menée à bien. Reste à examiner si les autres éléments qui ont pu être recueillis permettent de répondre à cette question. Dans son rapport du 28 janvier 2009, le médecin traitant n’a fait état que d’un éthylisme chronique. Le Dr B__________, en revanche, a évoqué les diagnostics de trouble affectif bipolaire, de trouble anxieux et de traits de personnalité mixte paranoïaque et dissociable, dont il a précisé qu’ils étaient probablement antérieurs à la prise d’alcool de sorte que la dépendance semblait leur être secondaire. Il n’a cependant pas indiqué quelle était leur influence exacte sur la capacité de travail de l’intéressé.</w:t>
      </w:r>
    </w:p>
    <w:p>
      <w:r>
        <w:t>A/3586/2011 - 10/11 - Quant aux différents rapports émis par le département de psychiatrie de X__________ entre mai 2007 et novembre 2008, ils retiennent les troubles mentaux et du comportement liés à l’utilisation d’alcool comme diagnostic principal. Certes, certains de ces rapports évoquent également un trouble dépressif récurrent de gravité moyenne mais ils précisent aussi que, selon l’anamnèse, le premier état d’ivresse de l’assuré remonte à son enfance (9-12 ans), contredisant ainsi l’affirmation du Dr B__________ selon laquelle les troubles seraient antérieurs à la consommation. Enfin, le Dr D__________ a précisé que la potomanie développée était sans influence sur la capacité de travail, tout comme le bref épisode de psychose réactionnelle survenu en 2000. En définitive, force est de constater que les éléments recueillis ne permettent pas de conclure que l’alcoolisme du recourant a entraîné une atteinte à la santé physique, mentale ou psychique invalidante ou résulte lui-même d’une telle atteinte. La consommation excessive d'alcool demeure au premier plan. Il découle de ce qui précède que l'existence de troubles psychiques ayant une incidence sur la capacité de travail n'est pas démontrée au degré de la vraisemblance prépondérante requis en matière d'assurances sociales, de sorte que c’est à juste titre que l’intimé a rejeté la demande de prestations sur la base du dossier. Eu égard aux considérations qui précèdent, le recours est rejeté.</w:t>
      </w:r>
    </w:p>
    <w:p>
      <w:r>
        <w:t>A/3586/2011 - 11/11 -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