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ATAS/1319/2009 vom 4. August 2009</w:t>
      </w:r>
    </w:p>
    <w:p>
      <w:r>
        <w:t>GE Cour de justice, 2009-08-04, FR</w:t>
      </w:r>
    </w:p>
    <w:p>
      <w:r>
        <w:rPr>
          <w:b/>
        </w:rPr>
        <w:t xml:space="preserve">Quelle: </w:t>
      </w:r>
      <w:r>
        <w:t>https://mcp.opencaselaw.ch/entscheid/ge_gerichte_ATAS_1319_2009</w:t>
      </w:r>
    </w:p>
    <w:p>
      <w:r>
        <w:t>FR: GE_GERICHTE ATAS/1319/2009 du 4 août 2009</w:t>
      </w:r>
    </w:p>
    <w:p>
      <w:r>
        <w:t>IT: GE_GERICHTE ATAS/1319/2009 del 4 agosto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3</w:t>
      </w:r>
    </w:p>
    <w:p>
      <w:r>
        <w:t>La loi fédérale sur la partie générale du droit des assurances sociales (ci-après LPGA), entrée en vigueur le 1er janvier 2003, est applicable au cas d'espèce.</w:t>
      </w:r>
    </w:p>
    <w:p>
      <w:r>
        <w:rPr>
          <w:b/>
        </w:rPr>
        <w:t>E. 4</w:t>
      </w:r>
    </w:p>
    <w:p>
      <w:r>
        <w:t>Interjeté dans les délai et forme légaux, le recours est recevable (art. 56 al. 1 et 60 LPGA).</w:t>
      </w:r>
    </w:p>
    <w:p>
      <w:r>
        <w:rPr>
          <w:b/>
        </w:rPr>
        <w:t>E. 5</w:t>
      </w:r>
    </w:p>
    <w:p>
      <w:r>
        <w:t>Le litige porte sur la question de savoir si l’OCE a suspendu valablement le droit de la recourante à l’indemnité de chômage pendant 3 jours, pour faute légère, pour recherches insuffisantes durant le mois de juillet 2009.</w:t>
      </w:r>
    </w:p>
    <w:p>
      <w:r>
        <w:rPr>
          <w:b/>
        </w:rPr>
        <w:t>E. 6</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w:t>
      </w:r>
    </w:p>
    <w:p>
      <w:r>
        <w:t>A/3368/2009 - 5/7 -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L'office compétent contrôle chaque mois les recherches d'emploi de l'assuré (cf. art. 26 al. 3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235a § 2). La sanction préconisée par le SECO en cas d'efforts insuffisants pendant la période de contrôle, la première fois, est de 3 à 4 jours (D72). En l'occurrence, le Tribunal a considéré que rien n'empêchait l'assurée de produire ses recherches le 25 de chaque mois et de mentionner les recherches suivantes sur la feuille du mois d'après. En aucun cas, cependant, ce mode de faire ne devait conduire l'assurée à effectuer, chaque mois, un nombre inférieur de recherches à celui exigé. Comme le prévoit expressément le contrat signé par la recourante, le nombre de recherches indiqué, en l'espèce cinq à six recherches par mois, est un minimum. Nul doute que le conseiller en personnel de la recourante a tenu compte, en fixant un nombre bas de recherches imposées - le nombre de recherches exigées normalement étant d'une dizaine par mois - de la particularité du domaine d'activité de la recourante, touché par la crise financière. S'agissant d'un minimum, toute recherche mensuelle d'emploi ne le respectant pas est susceptible de justifier une sanction. À ce propos, on précisera à l'attention de la recourante qu'aucune obligation d'avertir l'assuré du risque d'une sanction n'est inscrite dans la loi ou le règlement. En revanche, il est prévu lors de l'inscription au chômage une séance d'information, où il est rappelé les devoirs et obligations de l'assuré. Par conséquent, la recourante devait savoir que son comportement pouvait conduire à une sanction. Comme l'a relevé la représentante de l'OCE, si aucune sanction n'a eu lieu précédemment, c'est qu'indépendamment du mode de faire adopté par la recourante le nombre minimum de recherches requis était réalisé, ou semblait l'être, à l'exception des mois de janvier et février, mais qui étaient antérieurs au premier entretien de conseil. Comme mentionné plus haut, la recourante a effectué, de plus, à deux reprises des recherches insuffisantes en nombre, à savoir au mois d'avril et</w:t>
      </w:r>
    </w:p>
    <w:p>
      <w:r>
        <w:t>A/3368/2009 - 6/7 - au mois de juillet. Pour le mois d'avril, le conseiller ne s'est manifestement pas rendu compte qu'une partie des recherches avait été effectuée au mois de mars. Durant le mois de juillet, seules quatre recherches ont été effectuées, soit des recherches indiquées sur la feuille du mois de juillet, et deux autres recherches effectuées à la fin du mois et portées sur la feuille du mois d'août. Par conséquent, la sanction infligée à la recourante pour le mois de juillet est conforme au droit. La durée de la suspension correspond par ailleurs au minimum préconisé par le SECO.</w:t>
      </w:r>
    </w:p>
    <w:p>
      <w:r>
        <w:rPr>
          <w:b/>
        </w:rPr>
        <w:t>E. 7</w:t>
      </w:r>
    </w:p>
    <w:p>
      <w:r>
        <w:t>Par conséquent, le recours sera rejeté.</w:t>
      </w:r>
    </w:p>
    <w:p>
      <w:r>
        <w:t>A/3368/2009 - 7/7 -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