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ATAS/1318/2012 vom 1. November 2012</w:t>
      </w:r>
    </w:p>
    <w:p>
      <w:r>
        <w:t>GE Cour de justice, 2012-11-01, FR</w:t>
      </w:r>
    </w:p>
    <w:p>
      <w:r>
        <w:rPr>
          <w:b/>
        </w:rPr>
        <w:t xml:space="preserve">Quelle: </w:t>
      </w:r>
      <w:r>
        <w:t>https://mcp.opencaselaw.ch/entscheid/ge_gerichte_ATAS_1318_2012</w:t>
      </w:r>
    </w:p>
    <w:p>
      <w:r>
        <w:t>FR: GE_GERICHTE ATAS/1318/2012 du 1 novembre 2012</w:t>
      </w:r>
    </w:p>
    <w:p>
      <w:r>
        <w:t>IT: GE_GERICHTE ATAS/1318/2012 del 1 novembre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de la Cour de céans pour juger du cas d’espèce est ainsi établie.</w:t>
      </w:r>
    </w:p>
    <w:p>
      <w:r>
        <w:rPr>
          <w:b/>
        </w:rPr>
        <w:t>E. 2</w:t>
      </w:r>
    </w:p>
    <w:p>
      <w:r>
        <w:t>Le recours interjeté respectant les forme et délai prévus par la loi (art. 56 à 60 LPGA), il y a lieu de le déclarer recevable.</w:t>
      </w:r>
    </w:p>
    <w:p>
      <w:r>
        <w:rPr>
          <w:b/>
        </w:rPr>
        <w:t>E. 3</w:t>
      </w:r>
    </w:p>
    <w:p>
      <w:r>
        <w:t>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La décision litigieuse ayant été rendue en mai 2011, le droit éventuel de l’assurée à une rente d'invalidité doit être examiné au regard de la LPGA et des modifications de la LAI du 21 mars 2003 (4ème révision) dans la mesure de leur pertinence (ATF 130 V 445 et les références; voir également ATF 130 V 329). Par ailleurs, la loi fédérale du 16 décembre 2005 modifiant la LAI est entrée en vigueur le 1er juillet 2006 (RO 2006 2003), apportant des modifications qui</w:t>
      </w:r>
    </w:p>
    <w:p>
      <w:r>
        <w:t>A/1833/2011 - 8/15 - concernent notamment la procédure (art. 52, 58 et 61 let. a LPGA) est également applicable.</w:t>
      </w:r>
    </w:p>
    <w:p>
      <w:r>
        <w:rPr>
          <w:b/>
        </w:rPr>
        <w:t>E. 4</w:t>
      </w:r>
    </w:p>
    <w:p>
      <w:r>
        <w:t>Le litige porte uniquement sur le degré d’invalidité de la recourante, puisqu’il n’est pas contesté que son état s’est aggravé depuis 2006, date à laquelle l’intimé a rejeté la première demande de prestations de l’intéressée. Le statut de l’assurée n’est pas non plus contesté puisqu’elle a été reconnue active à 80%. Seuls restent donc litigieux l’évaluation de sa capacité de travail et le calcul de son degré d’invalidité, plus particulièrement le montant retenu à titre de revenu avant invalidité.</w:t>
      </w:r>
    </w:p>
    <w:p>
      <w:r>
        <w:rPr>
          <w:b/>
        </w:rPr>
        <w:t>E. 5</w:t>
      </w:r>
    </w:p>
    <w:p>
      <w:r>
        <w:t>a) Il convient tout d’abord de se pencher sur la question de la capacité de travail de l’assurée. En effet, cette dernière conteste être capable de travailler compte tenu de ses problèmes de poids, d’anémie et de dépression. L’intimé la considère en revanche totalement apte à exercer une activité adaptée à ses limitations. b) Est réputée invalidité l'incapacité de gain totale ou partielle présumée permanente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 jurisprudence du Tribunal fédéral (TF), l’objet de l’assurance n’est donc pas l’atteinte à la santé en soi mais plutôt les conséquences économiques qui en découlent, soit l’incapacité de réaliser un gain par un travail exigible (ou d’accomplir les travaux habituels pour les non-actifs).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207ss.; 106 V 88; 110 V 275; RCC 1981 p. 124 consid. 1a). c) Selon l'art. 28 al. 1 LAI dans sa teneur en vigueur jusqu'au 31 décembre 2003, l'assuré a droit à une rente entière s'il est invalide à 66 2/3 % au moins, à une demi- rente s'il est invalide à 50 % au moins, ou à un quart de rente s'il est invalide à 40 %</w:t>
      </w:r>
    </w:p>
    <w:p>
      <w:r>
        <w:t>A/1833/2011 - 9/15 -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 quarts de rente à l'assuré dont le degré d'invalidité atteint 60 %, alors que le taux ouvrant droit à une rente entière est passé de 66 ⅔ à 70 %. d)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w:t>
      </w:r>
    </w:p>
    <w:p>
      <w:r>
        <w:t>A/1833/2011 - 10/15 -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 S’agissant de la capacité de travail de la recourante, l'OAI s'est rallié aux conclusions de l’expertise conduite par les Drs O___________ et P___________, du SMR, qui ont conclu à une capacité de travail entière dans une activité adaptée, ce que la recourante conteste, en invoquant l’avis de ses médecins traitants. Il convient tout d'abord de se prononcer sur la valeur à accorder à l'expertise du SMR. Celle-ci a été diligentée par deux spécialistes reconnus, sur la base d'un dossier complet. Elle tient compte des remarques et plaintes de l'assurée et relate de façon précise les constatations cliniques objectives des médecins. Les interactions entre les différentes pathologies, ainsi que les conséquences de celles-ci sur la capacité à effectuer certaines tâches (description des limitations fonctionnelles) sont claires. Il en va de même des explications relatives aux motifs ayant conduit les</w:t>
      </w:r>
    </w:p>
    <w:p>
      <w:r>
        <w:t>A/1833/2011 - 11/15 - experts à ne retenir que le diagnostic de dysthymie. Les conclusions auxquelles aboutissent les examinateurs, motivées de façon étoffée, sont convaincantes. En de telles circonstances, la Cour céans considère que le rapport d'expertise a pleine valeur probante. Les avis des Drs M___________ et Q___________ ne sauraient mettre en doute les conclusions des experts. En effet, tous les diagnostics somatiques évoqués par la Dresse M___________ ont été pris en compte par les experts, qui ont expliqué de manière détaillée leurs répercussions sur la capacité de travail de l’assurée. Aucun élément objectif n’a ainsi été omis. Quant au Dr Q___________, il s’est contenté d’affirmer que sa patiente était dans l’incapacité de travailler sans motiver aucunement sa position, si ce n’est par la liste des diagnostics retenus, qui demeurent les mêmes que ceux retenus par les experts. Au contraire, il semble ressortir des explications du Dr Q___________ que, contrairement à ses allégations, l’état de sa patiente s’est amélioré puisque la fréquence des consultations a diminué entre 2008 et 2011. Enfin, les maîtres de stage des EPI sont également parvenus à la conclusion que l’assurée était capable d’exercer à plein temps et plein rendement sur le marché économique usuel tertiaire. On relèvera à cet égard que la recourante ne saurait tirer de conclusions pertinentes du fait qu’elle n’a pas obtenu le diplôme espéré à l’issue de la mesure de reclassement dont elle a bénéficié puisqu’il n’est pas allégué que ce serait en raison de problèmes de santé. Il y a dès lors lieu de rejeter le recours sur ce point et d’admettre, avec les EPI et le SMR, que l’assurée dispose d’une pleine capacité à exercer une activité adaptée telle que décrite par les experts.</w:t>
      </w:r>
    </w:p>
    <w:p>
      <w:r>
        <w:rPr>
          <w:b/>
        </w:rPr>
        <w:t>E. 6</w:t>
      </w:r>
    </w:p>
    <w:p>
      <w:r>
        <w:t>a) Il convient à présent de se pencher sur le calcul du degré d’invalidité auquel a procédé l’intimé, calcul contesté par la recourante, s’agissant plus particulièrement du revenu avant invalidité.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w:t>
      </w:r>
    </w:p>
    <w:p>
      <w:r>
        <w:t>A/1833/2011 - 12/15 - LPGA; depuis le 1er janvier 2004: art. 28 al. 2 LAI en corrélation avec l'art. 16 LPGA). Pour procéder à la comparaison des revenus, il convient de se placer au moment de la naissance de l'éventuel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Aux termes de l’art. 27bis RAI, lorsque l’assuré n’exerce une activité lucrative qu’à temps partiel, l’invalidité pour cette part est évaluée selon la méthode générale qui vient d’être décrite. Quant à l’invalidité dans la part réservée aux travaux habituels au sens de l’art. 8 al. 3 LPGA - on entend par là l’activité usuelle dans le ménage, l’éducation des enfants ainsi que l’engagement caritatif non rémunéré -, elle est évaluée selon l’art. 27 RAI. Il faut donc en premier lieu déterminer la part respective de l’activité lucrative et celle de l’accomplissement des autres travaux habituels et calculer le degré d’invalidité d’après le handicap dont la personne est affectée dans les deux domaines d’activité en question (méthode mixte d’évaluation de l’invalidité). On évaluera ainsi le degré d’invalidité dans les travaux habituels par comparaison des activités (art. 27 RAI) et le degré d’invalidité dans la sphère professionnelle par comparaison des revenus (art. 16 LPGA) ; on pourra alors déterminer l’invalidité globale d’après le temps consacré à ces deux champs d’activités. La part de l’activité professionnelle dans l’ensemble des travaux de</w:t>
      </w:r>
    </w:p>
    <w:p>
      <w:r>
        <w:t>A/1833/2011 - 13/15 - l’assuré est déterminée en comparant l’horaire de travail usuel dans la profession en question et l’horaire accompli par l’assuré valide; on calcule donc le rapport en pourcent entre ces deux valeurs. La part de l’autre travail habituel constitue le reste du pourcentage (ATF 104 V 136 = RCC 1979 p. 28 consid. 2a ; RCC 1980 p. 565 ; RCC 1992 p. 136 et VSI 1999 p. 231 et ss.).</w:t>
      </w:r>
    </w:p>
    <w:p>
      <w:r>
        <w:rPr>
          <w:b/>
        </w:rPr>
        <w:t>E. 7</w:t>
      </w:r>
    </w:p>
    <w:p>
      <w:r>
        <w:t>En l’espèce, la recourante allègue que le revenu avant invalidité devrait être fixé non à 50'750 fr. (18'126 fr. [salaire 2001 de 17'724 fr. après indexation] + 2'444 fr. [salaire accessoire 2001 de 2'390 fr. après indexation] + 30'000 [revenu de maman de jour]) mais à 60'495 fr. (27'950 [revenu total obtenu chez X___________ en 2001] + 2'545 [activité auxiliaire chez Y___________ ; moyenne 2000-2001) + 30'000 [revenu de maman de jour]). Estimant que le taux d'activité ne pouvait être clairement établi pour l’année 2001 et vu que les heures supplémentaires n'avaient pas été effectuées « sur la durée », la division de réadaptation professionnelle s’est basée sur le revenu réalisé en 2000. Dans sa réponse au recours, l’intimé a relevé que l’assurée n’a effectué des heures supplémentaires qu’à compter de juin 2001 et que leur nombre a sensiblement varié jusqu’en décembre 2001 (88,75 en juin, 46 en juillet, 26,5 en août, 10,25 en septembre, 39,75 en octobre, 36 en novembre et 64,75 en décembre), raison pour laquelle il a suggéré de se baser sur la moyenne des salaires réalisés entre 1997 et 2001, afin de pondérer les facteurs variables de la rétribution dans le temps et de refléter la situation concrète de l’assurée. Il apparaît à la Cour de céans que cette façon de procéder ne répondrait pas aux exigences de la loi et de la jurisprudence qui veulent que le revenu avant invalidité soit évalué de manière aussi concrète que possible. En l’occurrence, il n’est pas contesté qu’un changement est survenu durant l’année 2001, puisque l’employeur de l’assurée lui a proposé une fonction supplémentaire. Certes, il n’y a pas eu modification formelle du contrat de travail. Il n’en demeure pas moins que l’assurée a régulièrement effectué des heures supplémentaires de juin 2001 à février 2002, c'est-à-dire jusqu’à son arrêt de travail, de sorte que l’on peut sans autre conclure que si son état de santé le lui avait permis, elle aurait continué de la sorte. L’employeur n’a pas non plus allégué que cette possibilité était limitée dans le temps. Une moyenne se basant sur la période de 1997 à 2001 ne correspondrait donc en rien à la réalité. Reste que le nombre d’heures supplémentaires effectué entre juin 2001 et février 2002 a effectivement varié (de 10,25 à 88 par mois). Il apparaît à la Cour nécessaire de se baser sur le revenu concrètement réalisé en 2001 par la recourante, puisque cela démontre le salaire qu’elle était capable d’obtenir lorsque son état de santé le lui permettait. C’est donc le montant tel que ressortant du rassemblement des comptes individuels AVS qui doit être pris en considération, à savoir 27'950 fr., ce</w:t>
      </w:r>
    </w:p>
    <w:p>
      <w:r>
        <w:t>A/1833/2011 - 14/15 - qui, indexé, correspond à un montant de 28'450 fr. pour 2002 après indexation. Si l’on y ajoute 2'444 fr. de revenu accessoire (revenu 2001 [2'390 fr.] après indexation) et 30'000 fr. de revenu en tant que maman de jour, on obtient un revenu avant invalidité de 60'894 fr. qui, comparé à celui de 32'496 fr. qu’aurait pu obtenir l’assurée en 2002 en exerçant une activité adaptée à 80% et compte tenu d’une réduction supplémentaire de 15%, conduit à un degré d’invalidité de 46,64% dans la sphère professionnelle. Le degré d’invalidité global en résultant s’élève à 40,91 % ([46,64 % de 80 % = 29,6 %] + [18 % de 20 % = 3,6 %]), ce qui ouvre à l’assurée le droit à un quart de rente de l’assurance-invalidité à compter du 30 juillet 2010, date à laquelle les mesures de reclassement ont pris fin. Au vu de ce qui précède, le recours est partiellement admis.</w:t>
      </w:r>
    </w:p>
    <w:p>
      <w:r>
        <w:t>A/1833/2011 - 15/15 -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