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ATAS/1318/2009 vom 4. Februar 2009</w:t>
      </w:r>
    </w:p>
    <w:p>
      <w:r>
        <w:t>GE Cour de justice, 2009-02-04, FR</w:t>
      </w:r>
    </w:p>
    <w:p>
      <w:r>
        <w:rPr>
          <w:b/>
        </w:rPr>
        <w:t xml:space="preserve">Quelle: </w:t>
      </w:r>
      <w:r>
        <w:t>https://mcp.opencaselaw.ch/entscheid/ge_gerichte_ATAS_1318_2009</w:t>
      </w:r>
    </w:p>
    <w:p>
      <w:r>
        <w:t>FR: GE_GERICHTE ATAS/1318/2009 du 4 février 2009</w:t>
      </w:r>
    </w:p>
    <w:p>
      <w:r>
        <w:t>IT: GE_GERICHTE ATAS/1318/2009 del 4 febbraio 2009</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La LPGA, entrée en vigueur le 1er janvier 2003, est applicable à titre supplétif (art. 1 LAFam) au cas d’espèce.</w:t>
      </w:r>
    </w:p>
    <w:p>
      <w:r>
        <w:rPr>
          <w:b/>
        </w:rPr>
        <w:t>E. 3</w:t>
      </w:r>
    </w:p>
    <w:p>
      <w:r>
        <w:t>Interjeté dans les forme et délai légaux, le présent recours est recevable (art. 30 et 61 LPGA).</w:t>
      </w:r>
    </w:p>
    <w:p>
      <w:r>
        <w:rPr>
          <w:b/>
        </w:rPr>
        <w:t>E. 4</w:t>
      </w:r>
    </w:p>
    <w:p>
      <w:r>
        <w:t>Est litigieuse en l'espèce la question de savoir si le recourant peut prétendre aux allocations familiales pour son enfant domicilié en Allemagne dès le mois de décembre 2008.</w:t>
      </w:r>
    </w:p>
    <w:p>
      <w:r>
        <w:rPr>
          <w:b/>
        </w:rPr>
        <w:t>E. 5</w:t>
      </w:r>
    </w:p>
    <w:p>
      <w:r>
        <w:t>La loi fédérale sur les allocations familiales du 24 mars 2006 (LAFam; RS 836.2) et son ordonnance (OAFam; RS 836.21) sont entrées en vigueur le 1er janvier 2009. Par conséquent, leurs dispositions sont applicables pour les prestations litigieuses postérieures au 1er janvier 2009. Pour les prestations du mois de décembre 2008, les dispositions de l'ancienne loi cantonale genevoise d'allocations familiales et son règlement sont applicables (LAF et RELAF). À noter que ne sont en tout cas pas applicables en l'espèce les dispositions de l'Accord entre la Confédération Suisse, d'une part, et la Communauté Européenne et ses Etats membres, d'autre part, sur la libre circulation des personnes conclu le 21 juin 1999, entré en vigueur le 1er juin 2002 (RS 0.142.112.681 - ALCP) et applicable depuis lors (cf. ATF 131 V 390 consid. 3.2 p. 395, 128 V 315). En effet, l’objectif de l’ALCP est notamment d'accorder les mêmes conditions de vie, d'emploi et de travail aux membres des pays contractants que celles accordées aux nationaux (art. 1 let. d) et prévoit la coordination des systèmes de sécurité sociale (art. 8). Selon l'art. 1 al. 1 de l'annexe II à l'ALCP - intitulée «Coordination des systèmes de sécurité sociale», fondée sur l'art. 8 de l'accord et faisant partie</w:t>
      </w:r>
    </w:p>
    <w:p>
      <w:r>
        <w:t>A/2205/2009 - 4/6 - intégrante de celui-ci (art. 15 ALCP)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 règlement no 1408/71), ainsi que son règlement d’exécution no 574/72 du Conseil du 21 mars 1972, dans leur teneur en vigueur à la date de la signature de l'ALCP. Le terme «Etat(s) membre(s)» figurant dans ces actes est considéré renvoyer, en plus des Etats membres de l'Union européenne parties à l'ALCP, à la Suisse (art. 1 par. 2 de l'annexe II à l'ALCP). Or, le règlement (CEE) no 1408/71 prévoit expressément à son art. 2 « personnes couvertes » que le présent règlement s'applique aux travailleurs salariés ou non salariés et aux étudiants qui sont ou ont été soumis à la législation d'un ou de plusieurs états membres et qui sont des ressortissants de l'un des états membres ou bien des apatrides ou des réfugiés résidant sur le territoire d'un des états membres ainsi qu'aux membres de leur famille et leurs survivants. Force est en l'occurrence de constater que le Cameroun, pays dont le recourant est ressortissant, n'est pas un État membre ou assimilé.</w:t>
      </w:r>
    </w:p>
    <w:p>
      <w:r>
        <w:rPr>
          <w:b/>
        </w:rPr>
        <w:t>E. 6</w:t>
      </w:r>
    </w:p>
    <w:p>
      <w:r>
        <w:t>Pour la période postérieure au 1er janvier 2009, le recourant s'est dit satisfait des explications de la caisse, qu'il y a par ailleurs eu lieu de confirmer. En effet, l'art. 13 LAFam prévoit que les salariés au service d’un employeur assujetti qui sont obligatoirement assurés dans l’AVS à ce titre ont droit aux allocations familiales. Les prestations sont réglées par le régime d’allocations familiales du canton visé à l’art. 12, al. 2. Le droit naît et expire avec le droit au salaire. Toutefois, aux termes de l'art. 4 al. 3 LAFam, " pour les enfants vivant à l'étranger, le Conseil fédéral détermine les conditions d'octroi des allocations. Le montant des allocations est établi en fonction du pouvoir d'achat du pays de résidence". Le Conseil fédéral s’est ainsi vu octroyer par le législateur fédéral la compétence de déterminer les conditions d’octroi des allocations familiales pour les enfants vivant à l’étranger (cf. art. 4 al. 3 LAFam). En vertu de cette délégation de compétence, le Conseil fédéral a édicté l’art. 7 al. 1 OAFam. Il en ressort que les allocations familiales ne sont versées pour les enfants ayant leur domicile à l’étranger que si une convention internationale le prévoit (art. 7 al. 1 OAFam) et à condition, au surplus, qu’aucun droit aux allocations familiales n’existe à l’étranger (art. 7 al. 1 let. a OAFam), que le droit aux allocations en Suisse se fonde sur l’exercice d’une activité lucrative (art. 7 al. 1 let. b OAFam), que l’allocation familiale soit due pour un enfant avec lequel l’ayant droit a un lien de filiation en vertu du code civil (art. 7 al. 1 let. c OAFam) et enfin, que l’enfant n’ait pas atteint l’âge de 16 ans (art. 7 al. 1 let. d OAFam).</w:t>
      </w:r>
    </w:p>
    <w:p>
      <w:r>
        <w:t>A/2205/2009 - 5/6 - La LAFam et l'OAFam sont complétées par des directives. Les directives pour l'application de la loi fédérale sur les allocations familiales LAFam (DAFam) valable dès le 1er janvier 2009, relatives à l'art. 7 al. 1 OAFam, prévoient ce qui suit: « les prestations ne sont octroyées pour des enfants vivant à l'étranger que si la Suisse y est obligée par des accords internationaux. Pour les allocations familiales selon la LAFam, seuls l'Accord sur la libre circulation des personnes, la Convention AELE et la convention avec l'ex-Yougoslavie (qui continue à s'appliquer aux ressortissants de la Bosnie-Herzégovine, du Kosovo, du Monténégro et de la Serbie) prévoient une telle obligation. Pour les allocation familiales selon la LFA, l'obligation d'exporter est en outre contenue dans des conventions avec la Croatie, la Turquie, la Macédoine et Saint-Martin ». En l'occurrence, la Suisse n'est obligée ni par un accord international ni par l'ALCP. De plus, le versement de telles allocations familiales au recourant est de toute façon exclu car l'enfant est âgé de plus de 16 ans.</w:t>
      </w:r>
    </w:p>
    <w:p>
      <w:r>
        <w:rPr>
          <w:b/>
        </w:rPr>
        <w:t>E. 7</w:t>
      </w:r>
    </w:p>
    <w:p>
      <w:r>
        <w:t>Pour la période antérieure à janvier 2009, singulièrement le mois de décembre 2008, la première appréciation de l'intimé doit être confirmée. En effet, il est indéniable, et par ailleurs non contesté, que l'autorité parentale et la garde de l'enfant appartiennent en l'occurrence à la mère, domiciliée en Allemagne, qui perçoit d'ailleurs des allocations familiales à ce titre. Or, selon l'ancien art. 3 al. 1 LAF, pouvait prétendre au versement d'allocations familiales la personne assujettie à la loi qui a la garde de l'enfant, ou qui exerce l'autorité parentale, ou encore qui assume l'entretien de manière prépondérante et durable. Force est de constater que le recourant n'a pas établi entretenir durablement et de façon prépondérante l'enfant. Il a uniquement établi participer à certains frais, en particulier de voyages dans le cadre de l'exercice du droit de visite.</w:t>
      </w:r>
    </w:p>
    <w:p>
      <w:r>
        <w:rPr>
          <w:b/>
        </w:rPr>
        <w:t>E. 8</w:t>
      </w:r>
    </w:p>
    <w:p>
      <w:r>
        <w:t>Vu ce qui précède, le recours sera rejeté.</w:t>
      </w:r>
    </w:p>
    <w:p>
      <w:r>
        <w:t>A/2205/2009 - 6/6 -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