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ATAS/1316/2008 vom 30. Oktober 2008</w:t>
      </w:r>
    </w:p>
    <w:p>
      <w:r>
        <w:t>GE Cour de justice, 2008-10-30, FR</w:t>
      </w:r>
    </w:p>
    <w:p>
      <w:r>
        <w:rPr>
          <w:b/>
        </w:rPr>
        <w:t xml:space="preserve">Quelle: </w:t>
      </w:r>
      <w:r>
        <w:t>https://mcp.opencaselaw.ch/entscheid/ge_gerichte_ATAS_1316_2008</w:t>
      </w:r>
    </w:p>
    <w:p>
      <w:r>
        <w:t>FR: GE_GERICHTE ATAS/1316/2008 du 30 octobre 2008</w:t>
      </w:r>
    </w:p>
    <w:p>
      <w:r>
        <w:t>IT: GE_GERICHTE ATAS/1316/2008 del 30 ottobre 2008</w:t>
      </w:r>
    </w:p>
    <w:p>
      <w:pPr>
        <w:pStyle w:val="Heading2"/>
      </w:pPr>
      <w:r>
        <w:t>Erwägungen</w:t>
      </w:r>
    </w:p>
    <w:p>
      <w:r>
        <w:rPr>
          <w:b/>
        </w:rPr>
        <w:t>E. 1</w:t>
      </w:r>
    </w:p>
    <w:p>
      <w:r>
        <w:t>L’objet du recours ressortit à la loi fédérale sur l’assurance-invalidité du 19 juin 1959 (LAI), de sorte que le Tribunal de céans est matériellement compétent pour statuer en l’espèce (cf. art. 56 V al. 1 let. a ch. 2 LOJ).</w:t>
      </w:r>
    </w:p>
    <w:p>
      <w:r>
        <w:rPr>
          <w:b/>
        </w:rPr>
        <w:t>E. 2</w:t>
      </w:r>
    </w:p>
    <w:p>
      <w:r>
        <w:t>Interjeté dans la forme et le délai prescrits, le recours est recevable (art. 56 et ss de la loi fédérale sur la partie générale des assurances sociales, du 6 octobre 2000, ci-après : LPGA).</w:t>
      </w:r>
    </w:p>
    <w:p>
      <w:r>
        <w:rPr>
          <w:b/>
        </w:rPr>
        <w:t>E. 3</w:t>
      </w:r>
    </w:p>
    <w:p>
      <w:r>
        <w:t>Le litige porte sur le taux d'invalidité du recourant, singulièrement sur son taux de capacité de travail résiduelle.</w:t>
      </w:r>
    </w:p>
    <w:p>
      <w:r>
        <w:rPr>
          <w:b/>
        </w:rPr>
        <w:t>E. 4</w:t>
      </w:r>
    </w:p>
    <w:p>
      <w:r>
        <w:t>La loi fédérale du 6 octobre 2000 sur la partie générale du droit des assurances sociales (LPGA) et la novelle du 21 mars 2003 modifiant la LAI (4ème révision) sont entrées en vigueur respectivement les 1er janvier 2003 et 1er janvier 2004, entraînant de nombreuses modifications légales dans l'assurance-invalidité. Cela étant, ni la LPGA, ni la 4ème révision de l'AI (ni, le cas échéant, la 5ème, entrée en vigueur le 1er janvier 2008) n'ont modifié la notion d'invalidité, la manière d'évaluer le taux d'invalidité ni les conditions permettant de fixer le début du droit à la rente ou de modifier ce droit (ATF 130 V 343). Pour les personnes exerçant une activité lucrative, l'invalidité est la diminution permanente ou de longue durée, résultant d'une atteinte à la santé assurée, des possibilités de gain sur un marché du travail équilibré qui entre en ligne de compte pour l'assuré (cf. art. 7 et 8 al. 1 LPGA; ATF 130 V 347 consid. 3.3, 119 V 470 consid. 2b, 116 V 249 consid. 1b).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348 sv. consid. 3.4).</w:t>
      </w:r>
    </w:p>
    <w:p>
      <w:r>
        <w:t>A/334/2008 - 9/15 -</w:t>
      </w:r>
    </w:p>
    <w:p>
      <w:r>
        <w:rPr>
          <w:b/>
        </w:rPr>
        <w:t>E. 5</w:t>
      </w:r>
    </w:p>
    <w:p>
      <w:r>
        <w:t>Le droit à la rente prend naissance au plus tôt à la date à partir de laquelle l'assuré présente une incapacité de gain durable de 40 % au moins pendant une année sans interruption notable (art. 29 al. 1 let. b LAI).</w:t>
      </w:r>
    </w:p>
    <w:p>
      <w:r>
        <w:rPr>
          <w:b/>
        </w:rPr>
        <w:t>E. 6</w:t>
      </w:r>
    </w:p>
    <w:p>
      <w:r>
        <w:t>Pour qu'une invalidité soit reconnue, il est nécessaire, dans chaque cas, qu'un substrat médical pertinent, entravant la capacité de travail (et de gain) de manière importante, soit mis en évidence par le médecin spécialisé (ATF du 21 août 2007, I 797/06, consid. 4). La limitation concrète de la capacité de travail résultant de l'empêchement est déterminante pour fixer le degré de l'incapacité de travail; elle s'apprécie sur la base de constatations médicales (RAMA 1987 No U 27 p. 394, consid. 2b; ATA/262/2001).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rPr>
          <w:b/>
        </w:rPr>
        <w:t>E. 7</w:t>
      </w:r>
    </w:p>
    <w:p>
      <w:r>
        <w:t>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w:t>
      </w:r>
    </w:p>
    <w:p>
      <w:r>
        <w:t>A/334/2008 - 10/15 -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Dans le cas où ces appréciations divergent sensiblement, il incombe à l'administration, respectivement au juge de confronter les deux appréciations, au besoin de requérir un complément d'instruction (ATFA du 22 août 2005, I 737/04, consid. 3).</w:t>
      </w:r>
    </w:p>
    <w:p>
      <w:r>
        <w:rPr>
          <w:b/>
        </w:rPr>
        <w:t>E. 9</w:t>
      </w:r>
    </w:p>
    <w:p>
      <w:r>
        <w:t>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w:t>
      </w:r>
    </w:p>
    <w:p>
      <w:r>
        <w:rPr>
          <w:b/>
        </w:rPr>
        <w:t>E. 10</w:t>
      </w:r>
    </w:p>
    <w:p>
      <w:r>
        <w:t>En l’occurrence, l’OCAI a retenu que l’assuré disposait d’une capacité de travail nulle dans son ancienne profession. Dans une activité résiduelle adaptée, celle-ci était de 75%, sur la base d’une combinaison des avis du SMR du 9 juillet 2006 (exigibilité à 100% après une réadaptation de deux mois), de son médecin-conseil (exigibilité à 100% avec une baisse de rendement de 20-25%) et du docteur S____________ (exigibilité à 100%, avec une baisse de rendement de 20% à 30%, selon l’activité). Pour le recourant, en revanche, ce taux serait de 50% seulement, à l’instar de ce qu’avait constaté son médecin traitant, ainsi que la Fondation PRO. D’emblée, on relèvera que le rapport du SMR remplit les réquisits jurisprudentiels en matière de valeur probante (ci-dessus, p. 9, § 7), ce que le recourant ne conteste d’ailleurs pas. Les conclusions du SMR relatives à la capacité de travail résiduelle exigible (100%) sont du reste confirmées par les autres médecins spécialisés consultés (Drs A____________ et S____________, tous deux neurochirurgiens), à l’exception du seul docteur DE Q____________, médecin traitant, - étant par ailleurs observé qu’il n’y pas de contestation relativement aux diagnostics entre les différents médecins. Par ailleurs, le médecin-conseil de l’OCAI a expliqué de manière convaincante pourquoi il avait retenu, en l’occurrence, une baisse de rendement de 20-25% dans une activité adaptée - cependant que le SMR ne s’est pas prononcé sur le taux de rendement exigible correspondant -, pour tenir compte de la baisse de rendement de 20- 30% retenue par le docteur S____________ dans l’activité habituelle de l’assuré.</w:t>
      </w:r>
    </w:p>
    <w:p>
      <w:r>
        <w:t>A/334/2008 - 11/15 - Le taux de rendement exigible retenu par le docteur V____________ (75 à 80%) est d’ailleurs proche de celui figurant sous l’Observation 1, annexée au rapport PRO du 29 mai 2007, faisant état d’un rendement de 70% pour la période de stage effectuée à plein temps par l’assuré du 29 janvier au 29 avril 2007. Certes, les maîtres du stage PRO ont constaté que l’assuré ne semblait pour le moment visiblement pas en mesure de travailler à plus de 50%, tout en retenant par ailleurs un rendement de 50% lorsque celui-ci travaillait à 100%. Il n’empêche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(ATFA du</w:t>
      </w:r>
    </w:p>
    <w:p>
      <w:r>
        <w:rPr>
          <w:b/>
        </w:rPr>
        <w:t>E. 11</w:t>
      </w:r>
    </w:p>
    <w:p>
      <w:r>
        <w:t>Les faits étant établis à satisfaction de droit, la mise en œuvre de mesures d’instruction complémentaires, comme le requiert le recourant, ne s’avère pas nécessaire (appréciation anticipée des preuves : ATF du 12 mai 2004, K 134/03, consid. 4.3 ; ATF 124 V 94 consid. 4b).</w:t>
      </w:r>
    </w:p>
    <w:p>
      <w:r>
        <w:rPr>
          <w:b/>
        </w:rPr>
        <w:t>E. 12</w:t>
      </w:r>
    </w:p>
    <w:p>
      <w:r>
        <w:t>Chez les assurés actifs, le degré d'invalidité doit être déterminé sur la base d'une comparaison des revenus (art. 28 al. 2 LAI et 16 LPGA). Pour cela, le revenu du</w:t>
      </w:r>
    </w:p>
    <w:p>
      <w:r>
        <w:t>A/334/2008 - 12/15 -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w:t>
      </w:r>
    </w:p>
    <w:p>
      <w:r>
        <w:rPr>
          <w:b/>
        </w:rPr>
        <w:t>E. 13</w:t>
      </w:r>
    </w:p>
    <w:p>
      <w:r>
        <w:t>En principe, le revenu hypothétique de la personne valide se détermine en établissant au degré de la vraisemblance prépondérante ce qu'elle aurait effectivement pu réaliser au moment déterminant si elle était en bonne santé (ATF 129 V 224 consid. 4.3.1). Il se détermine en règle générale d'après le dernier salaire que l'assuré a obtenu avant l'atteinte à la santé, en tenant compte de l'évolution des salaires intervenue entre-temps (ATF 125 V 157). Afin d'évaluer le revenu d'invalide, il doit être tenu compte avant tout de la situation professionnelle concrète de l'intéressé. En l'absence d'un revenu effectivement réalisé, il y a lieu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V 76 consid. 5b/aa-cc).</w:t>
      </w:r>
    </w:p>
    <w:p>
      <w:r>
        <w:rPr>
          <w:b/>
        </w:rPr>
        <w:t>E. 14.1</w:t>
      </w:r>
    </w:p>
    <w:p>
      <w:r>
        <w:t>En l’occurrence, le revenu hypothétique sans invalidité a été déterminé sur la base de l’attestation du dernier employeur du recourant pour 2005 (13 x Fr. 4'850.-, soit Fr. 63'050.-). Quant au revenu d’invalide, il a été retenu en tenant compte du salaire ESS 2004, TA 1, p. 53, niveau de qualification 4, actualisé à 2005 (Fr. 57’751.-).</w:t>
      </w:r>
    </w:p>
    <w:p>
      <w:r>
        <w:rPr>
          <w:b/>
        </w:rPr>
        <w:t>E. 14.2</w:t>
      </w:r>
    </w:p>
    <w:p>
      <w:r>
        <w:t>Le recourant n’ayant pas contesté les montants des salaires annuels retenus par l’Office intimé pour effectuer la comparaison des revenus pour une activité à plein temps, il n’y pas lieu d’y revenir (cf. ATFA du 12 mai 2003, I 127/03, consid. 3.4). Au demeurant, lesdits montants ne sont pas contestables (cf. ATF du 15 novembre 2006, I 228/05, consid. 5.2.2).</w:t>
      </w:r>
    </w:p>
    <w:p>
      <w:r>
        <w:t>A/334/2008 - 13/15 -</w:t>
      </w:r>
    </w:p>
    <w:p>
      <w:r>
        <w:rPr>
          <w:b/>
        </w:rPr>
        <w:t>E. 14.3</w:t>
      </w:r>
    </w:p>
    <w:p>
      <w:r>
        <w:t>Le taux d’activité exigible dans une activité adaptée étant de 75% (cf. ci-dessus, p. 11, § 10), c’est à juste titre que l’Office intimé à retenu un salaire annuel d’invalide de Fr. 43'313.- (soit Fr. 57'751.- x 75%). 14.4En revanche, force est de constater que le coefficient de réduction de 10% retenu par l’OCAI ne prend pas suffisamment en compte les facteurs susceptibles d’influer les perspectives salariales de l’assuré en l’espèce. Ce dernier est en effet faiblement scolarisé et n’a pas acquis de formation professionnelle spécifique, si bien qu’il ne peut exercer que des activités simples et répétitives. Il présente en outre certaines limitations fonctionnelles, dont l’une affecte l’usage de sa main et de son bras gauches dans une mesure importante (soit dans des aptitudes ne dépassant pas 45 degrés d’abduction). Or, les activités précitées exigent dans la majeure partie des cas l’usage des deux mains. Il s’agit en effet de métiers pour la plupart de type manuel. On ne saurait dès lors considérer que les données statistiques relatives aux activités simples et répétitives dans les secteurs de la production et des services recouvrent un nombre significatif de professions adaptées au handicap du recourant (cf. dans ce sens ATF du 30 juillet 2003, I 245/03, consid. 5.1). De surcroît, l’assuré ne dispose que d’une capacité de travail résiduelle partielle (comp. ATF du 11 mars 2008, 8C_676/2007, consid. 3.1 ; du 17 janvier 2006, I 700/04, consid. 4.3.3 ; du 17 mars 2003, I 287/02 ; du 3 décembre 2002, I 699/01, consid. 3.1). Dans ces conditions, un abattement de 15% paraît plus approprié en l’occurrence.</w:t>
      </w:r>
    </w:p>
    <w:p>
      <w:r>
        <w:rPr>
          <w:b/>
        </w:rPr>
        <w:t>E. 14.5</w:t>
      </w:r>
    </w:p>
    <w:p>
      <w:r>
        <w:t>Le salaire d’invalide s’établit ainsi à Fr. 36'816.- [Fr. 43'313 – (Fr. 43'313.- x 15%)], ce qui abouti à un taux d’invalidité de 42% (41.6 % arrondis au pour-cent supérieur : ATF 139 V 122). Ce taux donne droit à un quart de rente (art. 28 al. 2 LAI), depuis le 1er octobre 2005, l’assuré ayant présenté une incapacité de travail d’au moins 40% depuis octobre 2004 (art. 29 al. 1 et 2, dans sa teneur en vigueur jusqu’au 31 décembre 2007).</w:t>
      </w:r>
    </w:p>
    <w:p>
      <w:r>
        <w:rPr>
          <w:b/>
        </w:rPr>
        <w:t>E. 15</w:t>
      </w:r>
    </w:p>
    <w:p>
      <w:r>
        <w:t>En cours de procédure, le recourant a conclu à l’octroi d’une rente entière dès le 1er décembre 2007, dans la mesure où il souffre, désormais, également d’une leucémie lymphatique aiguë avec présence du chromosome de Philadelphie, maladie diagnostiquée le 19 janvier 2008. Force est toutefois de constater que les pièces versées au dossier ne permettent pas de retenir, au degré de vraisemblance prépondérante, applicable à l'appréciation des preuves en matière d'assurances sociales (ATF 126 V 353 consid. 5b), que l’assuré subissait, dès le 1er décembre 2007, une incapacité (entière) de travail de ce chef. En effet, le docteur W____________ a certes attesté que, compte tenu des valeurs sanguines du patient à son admission à l’hôpital (le 20 janvier 2008), la maladie avait débuté plusieurs semaines avant d’être diagnostiquée (19 janvier 2008). Ce praticien a toutefois indiqué que les symptômes (faiblesse, sudations nocturnes et perte pondérale) étaient apparus trois semaines auparavant (soit début 2008), cependant que le début exact de la maladie était par ailleurs difficile à préciser (cf. certificats des 10 mars et 9 avril 2008).</w:t>
      </w:r>
    </w:p>
    <w:p>
      <w:r>
        <w:t>A/334/2008 - 14/15 -</w:t>
      </w:r>
    </w:p>
    <w:p>
      <w:r>
        <w:rPr>
          <w:b/>
        </w:rPr>
        <w:t>E. 16</w:t>
      </w:r>
    </w:p>
    <w:p>
      <w:r>
        <w:t>Dans ses observations du 29 mai 2008, l’OCAI a conclu à ce que le dossier lui soit retourné aux fins de nouvel examen, dans la mesure où il était admis que l’assuré subissait une incapacité de travail totale dès le 1er janvier 2008. Dès lors, il conviendra de renvoyer le dossier à l’OCAI afin qu’il détermine le (nouveau) taux d’invalidité du recourant dès le 1er janvier 2008.</w:t>
      </w:r>
    </w:p>
    <w:p>
      <w:r>
        <w:rPr>
          <w:b/>
        </w:rPr>
        <w:t>E. 17</w:t>
      </w:r>
    </w:p>
    <w:p>
      <w:r>
        <w:t>Le recours étant partiellement admis, l’assuré, représenté par un avocat, a droit à une indemnité à titre de participation à ses frais et dépens, fixée en l'occurrence à Fr. 1'500.- (art. 61 let. g LPGA).</w:t>
      </w:r>
    </w:p>
    <w:p>
      <w:r>
        <w:rPr>
          <w:b/>
        </w:rPr>
        <w:t>E. 18</w:t>
      </w:r>
    </w:p>
    <w:p>
      <w:r>
        <w:t>Conformément à l'art. 69 al. 1bis LAI, un émolument de Fr. 500.- est mis à la charge de l'intimé, qui succombe.</w:t>
      </w:r>
    </w:p>
    <w:p>
      <w:r>
        <w:t>A/334/2008 - 15/15 -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