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ATAS/1313/2010 vom 20. Dezember 2010</w:t>
      </w:r>
    </w:p>
    <w:p>
      <w:r>
        <w:t>GE Cour de justice, 2010-12-20, FR</w:t>
      </w:r>
    </w:p>
    <w:p>
      <w:r>
        <w:rPr>
          <w:b/>
        </w:rPr>
        <w:t xml:space="preserve">Quelle: </w:t>
      </w:r>
      <w:r>
        <w:t>https://mcp.opencaselaw.ch/entscheid/ge_gerichte_ATAS_1313_2010</w:t>
      </w:r>
    </w:p>
    <w:p>
      <w:r>
        <w:t>FR: GE_GERICHTE ATAS/1313/2010 du 20 décembre 2010</w:t>
      </w:r>
    </w:p>
    <w:p>
      <w:r>
        <w:t>IT: GE_GERICHTE ATAS/1313/2010 del 20 dicembre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prévus par la loi, le présent recours est recevable (art. 56 à 61 LPGA et 38 al. 4 let. b LPGA p.a.).</w:t>
      </w:r>
    </w:p>
    <w:p>
      <w:r>
        <w:rPr>
          <w:b/>
        </w:rPr>
        <w:t>E. 3</w:t>
      </w:r>
    </w:p>
    <w:p>
      <w:r>
        <w:t>L’objet du recours porte sur le droit du recourant à des prestations de l’assurance- accidents postérieurement au 30 avril 2010. Il s’agira de se prononcer sur le lien de causalité naturelle entre les troubles présentés par le recourant à ce moment-là et l’événement du 3 décembre 2008.</w:t>
      </w:r>
    </w:p>
    <w:p>
      <w:r>
        <w:rPr>
          <w:b/>
        </w:rPr>
        <w:t>E. 3.2</w:t>
      </w:r>
    </w:p>
    <w:p>
      <w:r>
        <w:t>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b/aa)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b/bb)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w:t>
      </w:r>
    </w:p>
    <w:p>
      <w:r>
        <w:t>A/3046/2010 - 10/15 -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 (cf. not. 8C_552/2007 du 17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b/cc)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w:t>
      </w:r>
    </w:p>
    <w:p>
      <w:r>
        <w:rPr>
          <w:b/>
        </w:rPr>
        <w:t>E. 4</w:t>
      </w:r>
    </w:p>
    <w:p>
      <w:r>
        <w:t>a) Selon l'art. 6 al. 1 LAA, les prestations d'assurance sont allouées en cas d'accident professionnel, d'accident non professionnel et de maladie professionnelle.</w:t>
      </w:r>
    </w:p>
    <w:p>
      <w:r>
        <w:t>A/3046/2010 - 9/15 -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 3.1 et les références) et adéquate (ATF 129 V 181 consid.</w:t>
      </w:r>
    </w:p>
    <w:p>
      <w:r>
        <w:rPr>
          <w:b/>
        </w:rPr>
        <w:t>E. 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A/3046/2010 - 11/15 - médecin doit lui fournir (ATF 122 V 158 consid. 1b; ATFA non publié U 345/03 du 13 octobre 2004, consid. 3.2).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une expertise médicale établie sur la base d'un dossier peut avoir valeur probante pour autant que celui-ci contienne suffisamment d'appréciations médicales qui, elles, se fondent sur un examen personnel de l'assuré (cf. RAMA 2001 n°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A/3046/2010 - 12/15 - l’incapacité de travail par le médecin de famille (ATF 125 V 351 consid. 3b/cc et les références ; RJJ 1995, p. 44 ; RCC 1988 p. 504 consid. 2).</w:t>
      </w:r>
    </w:p>
    <w:p>
      <w:r>
        <w:rPr>
          <w:b/>
        </w:rPr>
        <w:t>E. 6</w:t>
      </w:r>
    </w:p>
    <w:p>
      <w:r>
        <w:t>Le recourant soutient que ses troubles actuels sont toujours en relation de causalité avec l’accident du 8 décembre 2008, ce qui est nié par l’intimée.</w:t>
      </w:r>
    </w:p>
    <w:p>
      <w:r>
        <w:rPr>
          <w:b/>
        </w:rPr>
        <w:t>E. 7</w:t>
      </w:r>
    </w:p>
    <w:p>
      <w:r>
        <w:t>a) En l’espèce, pour supprimer le droit du recourant aux prestations dès le 30 avril 2010, l’intimée s’est essentiellement fondée sur les rapports du Dr P__________. Celui-ci a retenu, dans son appréciation du 4 juin 2009, qu’aucune lésion traumatique n’avait pu être pu être identifiée au niveau de l’épaule gauche suite à l’événement traumatique du 3 décembre 2008. De plus, eu égard notamment au laps de temps écoulé depuis lors et de l’absence d’atteinte neurologique mise en évidence par le Dr O__________, il a estimé que s’agissant de la contusion de l’épaule gauche, le statu quo sine avait été atteint, au plus tard six mois après l’événement du 3 décembre 2008. En outre, suite aux radiographie, arthrographie et arthroscanner effectués au mois de mars 2010, ce médecin a confirmé ses conclusions par rapport du 12 avril 2010. Il est vrai que l’analyse du médecin d’arrondissement de l’intimé est succincte, toutefois, elle se fonde sur le dossier médical du recourant, lequel comprend tous les éléments permettant de se prononcer sur le lien de causalité. En effet, ce médecin s’est basé sur les divers rapports du Dr L___________, sur l’expertise du Dr M__________ du 21 mars 2009, sur le rapport médical du Dr O__________ du 18 mai 2009 ainsi que sur les résultats des examens radiologiques effectués durant les mois de septembre 2008, mars 2009 et mars 2010, lesquels n’avaient révélés aucune lésion traumatique, mais uniquement des troubles dégénératifs. De plus, l’évolution des plaintes du recourant, lesquelles résultent essentiellement des rapports du Dr L___________, a également été prise en considération par le Dr P__________. Enfin, celui-ci s’est clairement exprimé sur le lien de causalité naturelle et ses explications concernant la description et les interférences médicales sont suffisantes pour apprécier la situation du recourant. Ses rapports répondent dès lors aux exigences permettant de leur reconnaître valeur probante au sens de la jurisprudence. On ajoutera qu’au regard de la jurisprudence (cf. RAMA 2001 n° U 438 p. 345 consid. 3d), le Dr P__________ pouvait renoncer à examiner l’assuré personnellement puisque le dossier de ce dernier comportait suffisamment de rapports médicaux établis sur la base d’examens cliniques. b) Les rapports du Dr P__________ sont corroborés par l’appréciation du 2 juillet 2010 du Dr S__________, qui a estimé que le statu quo sine était atteint, avec une vraisemblance prépondérante, au plus tard six mois après la simple contusion du 3 décembre 2008, et ce en l’absence de nouvelle lésion structurelle. De plus, la prothèse d’épaule était, d’après lui, uniquement nécessaire en raison de l’arthrose avancée préexistante due à une luxation ancienne et aux opérations, qui en ont résulté.</w:t>
      </w:r>
    </w:p>
    <w:p>
      <w:r>
        <w:t>A/3046/2010 - 13/15 - En outre, il sied de relever que les conclusions du rapport d’expertise du Dr M__________ viennent également confirmer celles du Dr P__________. En effet, il a clairement conclu que certes les suites directes de l’événement du 3 décembre 2008 devaient être prises en charge par l’assureur-accidents, mais que la prothèse de l’épaule gauche devait être posée en raison d’un état dégénératif évolué, lequel résultait des suites des luxations récidivantes existantes depuis les années 1983 à 1985, et non en raison des suites accidentelles de décembre 2008. c) Le recourant fait valoir que les rapports de son médecin traitant, le Dr L___________, permettent de douter du bien-fondé des conclusions du Dr P__________. En effet, le Dr L___________ a retenu que l’accident avait entraîné une pseudoparalysie de son épaule gauche, laquelle présentait depuis lors une impotence fonctionnelle et une vraisemblable lésion de la coiffe des rotateurs. A cet égard, on peut relever que l’arthrographie, réalisée en date du 31 mars 2010, n’a pas mis en évidence de fissure ou de rupture sur la coiffe des rotateurs. En outre, dans son dernier rapport daté 16 juin 2010, le Dr L___________ soutient finalement que l’accident de décembre 2008 n’avait provoqué que peu de lésions, soit uniquement une minime fissure du sus épineux, laquelle nécessitait la mise en place d’une prothèse de l’épaule. Toutefois, il convient de remarquer qu’avant même la découverte de cette fissure, les médecins s’accordaient pour poser l’indication d’une prothèse de l’épaule, et ce en raison des importants troubles dégénératifs dont souffrait le recourant. Qui plus est, le Dr S__________ s’est exprimé à ce sujet, en expliquant que la fissure était une altération dégénérative fortuitement constatée sans signification clinique et sans rapport avec l’accident. Enfin, le fait que le médecin traitant du recourant conclut que les troubles préexistants étaient devenus invalidants après l’accident, sans toutefois motiver son point de vue, revient à se fonder sur l’adage « post hoc ergo propter hoc » lequel est impropre à établir un rapport de cause à effet entre un accident assuré et une atteinte à la santé (ATF 119 V 335 consid. 2b/bb p. 341 s. ; RAMA 1999 no U 341 p. 408 s., consid. 3b). Eu égard à ce qui précède, les éléments ressortant des rapports du Dr L___________ ne sauraient remettre en cause les conclusions convaincantes du Dr P__________. d) Ainsi, il y a lieu de conclure, au degré de la vraisemblance prépondérante prévu par la jurisprudence, que les troubles présentés par le recourant postérieurement au 30 juin 2009 ne sont plus en rapport de causalité naturelle avec l’événement du 3 décembre 2008. Au demeurant, au vu des rapports convaincants des médecins de la SUVA, il n’est pas nécessaire de mettre en œuvre une instruction complémentaire sous la forme d’une expertise comme le réclame le recourant (appréciation anticipée des preuves ; ATF 130 II 425 consid. 2.1 p. 429 et les arrêts cités).</w:t>
      </w:r>
    </w:p>
    <w:p>
      <w:r>
        <w:t>A/3046/2010 - 14/15 -</w:t>
      </w:r>
    </w:p>
    <w:p>
      <w:r>
        <w:rPr>
          <w:b/>
        </w:rPr>
        <w:t>E. 8</w:t>
      </w:r>
    </w:p>
    <w:p>
      <w:r>
        <w:t>Pour le surplus, le rapport de causalité naturelle ayant été nié, il n’y pas lieu de se prononcer sur l’existence d’un lien de causalité adéquate entre les troubles du recourant au-delà du 30 juin 2009 et l’événement de décembre 2008.</w:t>
      </w:r>
    </w:p>
    <w:p>
      <w:r>
        <w:rPr>
          <w:b/>
        </w:rPr>
        <w:t>E. 9</w:t>
      </w:r>
    </w:p>
    <w:p>
      <w:r>
        <w:t>Dès lors, c’est à juste titre que l’intimé a supprimé le droit du recourant à des prestations d’assurance dès le 30 avril 2010. Mal fondé, le recours sera ainsi rejeté.</w:t>
      </w:r>
    </w:p>
    <w:p>
      <w:r>
        <w:t>A/3046/2010 - 15/15 -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