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ATAS/1312/2021 vom 15. Dezember 2021</w:t>
      </w:r>
    </w:p>
    <w:p>
      <w:r>
        <w:t>GE Cour de justice, 2021-12-15, FR</w:t>
      </w:r>
    </w:p>
    <w:p>
      <w:r>
        <w:rPr>
          <w:b/>
        </w:rPr>
        <w:t xml:space="preserve">Quelle: </w:t>
      </w:r>
      <w:r>
        <w:t>https://mcp.opencaselaw.ch/entscheid/ge_gerichte_ATAS_1312_2021</w:t>
      </w:r>
    </w:p>
    <w:p>
      <w:r>
        <w:t>FR: GE_GERICHTE ATAS/1312/2021 du 15 décembre 2021</w:t>
      </w:r>
    </w:p>
    <w:p>
      <w:r>
        <w:t>IT: GE_GERICHTE ATAS/1312/2021 del 15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de la recourante aux prestations de l’assurance- invalidité.</w:t>
      </w:r>
    </w:p>
    <w:p>
      <w:r>
        <w:rPr>
          <w:b/>
        </w:rPr>
        <w:t>E. 4</w:t>
      </w:r>
    </w:p>
    <w:p>
      <w:r>
        <w:t>septembre 2013 consid. 3).</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w:t>
      </w:r>
    </w:p>
    <w:p>
      <w:r>
        <w:t>A/1421/2021 - 7/10 -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A/1421/2021 - 8/10 -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5</w:t>
      </w:r>
    </w:p>
    <w:p>
      <w:r>
        <w:t>En l’espèce, le rapport d’expertise du Dr E______, qui est employé de l’intimé, ne peut se voir reconnaître une pleine force probante, dans la mesure où ce médecin n’est, à teneur du dossier, pas spécialisé en rhumatologie, alors qu’il ressort de son rapport que l’atteinte de la recourante est purement rhumatologique. Par ailleurs, sa conclusion sur la capacité de travail de la recourante ne convainc pas, dans la mesure où il la motive essentiellement par le fait qu’elle a pu prendre l’avion pour se rendre en Éthiopie. La recourante a en effet expliqué lors de son audition par la chambre de céans qu’elle n’avait pas voyagé pour ses loisirs, mais pour se rendre au chevet de son père, qui avait eu une attaque cérébrale et qu’elle avait pu faire quelques pas pendant le voyage qui avait duré 8 heures, ce qui la soulageait beaucoup. L’expert a retenu une contradiction entre le rapport établi le 18 octobre 2019 par la Dresse D______, qui indiquait que le périmètre de marche de la recourante n’était pas limité et qu’elle avait moins de douleurs couchée alors que dans les rapports médicaux du 5 décembre 2019 et du 23 juin 2020, le Dr C______ indiquait une limitation du périmètre de marche et une position couchée difficile.</w:t>
      </w:r>
    </w:p>
    <w:p>
      <w:r>
        <w:t>A/1421/2021 - 9/10 - Plusieurs mois séparent les rapports de ces deux médecins, de sorte que les différences de contenu peuvent s’expliquer par l’aggravation de l’état de santé de la recourante, étant précisé qu’elle a indiqué à la chambre de céans qu’elle n’avait pas de problème pour marcher en octobre 2019 alors qu’elle en avait actuellement. Enfin, les conclusions sur la capacité de travail du Dr E______ ne correspondent pas à celles du Dr C______. Dans ces circonstances, les conclusions du Dr E______ sont suffisamment remises en cause, pour qu’il s’impose de faire procéder à une expertise complémentaire sur le plan rhumatologique par un médecin indépendant, selon la procédure de l'art. 44 LPGA.</w:t>
      </w:r>
    </w:p>
    <w:p>
      <w:r>
        <w:rPr>
          <w:b/>
        </w:rPr>
        <w:t>E. 6</w:t>
      </w:r>
    </w:p>
    <w:p>
      <w:r>
        <w:t>Le recours sera ainsi partiellement admis, la décision du 8 mars 2021 annulée et la cause renvoyée à l’intimé pour qu’il procède dans le sens précité. La recourante obtenant ainsi partiellement gain de cause et étant assistée d’un conseil, elle a droit à des dépens, qui seront fixés à CHF 2'000.- (art. 61 let. g LPGA). Un émolument de CHF 200.- sera mis à la charge de l'intimé (art. 69 al. 1bis LAI).</w:t>
      </w:r>
    </w:p>
    <w:p>
      <w:r>
        <w:t>A/1421/2021 - 10/10 -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