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ATAS/130/2023 vom 1. März 2023</w:t>
      </w:r>
    </w:p>
    <w:p>
      <w:r>
        <w:t>GE Cour de justice, 2023-03-01, FR</w:t>
      </w:r>
    </w:p>
    <w:p>
      <w:r>
        <w:rPr>
          <w:b/>
        </w:rPr>
        <w:t xml:space="preserve">Quelle: </w:t>
      </w:r>
      <w:r>
        <w:t>https://mcp.opencaselaw.ch/entscheid/ge_gerichte_ATAS_130_2023</w:t>
      </w:r>
    </w:p>
    <w:p>
      <w:r>
        <w:t>FR: GE_GERICHTE ATAS/130/2023 du 1 mars 2023</w:t>
      </w:r>
    </w:p>
    <w:p>
      <w:r>
        <w:t>IT: GE_GERICHTE ATAS/130/2023 del 1 marzo 2023</w:t>
      </w:r>
    </w:p>
    <w:p>
      <w:pPr>
        <w:pStyle w:val="Heading2"/>
      </w:pPr>
      <w:r>
        <w:t>Erwägungen</w:t>
      </w:r>
    </w:p>
    <w:p>
      <w:r>
        <w:rPr>
          <w:b/>
        </w:rPr>
        <w:t>E. 7</w:t>
      </w:r>
    </w:p>
    <w:p>
      <w:r>
        <w:t>Sur proposition des parties, le tribunal de céans a nommé le 6 septembre 2022 Monsieur Marc-André RAETZO comme arbitre pour les demanderesses et Monsieur Jacques-Alain WITZIG pour le défendeur.</w:t>
      </w:r>
    </w:p>
    <w:p>
      <w:r>
        <w:rPr>
          <w:b/>
        </w:rPr>
        <w:t>E. 8</w:t>
      </w:r>
    </w:p>
    <w:p>
      <w:r>
        <w:t>Dans leur réplique du 11 novembre 2022, les demanderesses ont persisté dans leurs conclusions et se sont opposées à la mise en œuvre d'une expertise analytique, ainsi qu'aux réquisitions de preuve. L'attention du défendeur ayant été attirée dès 2012 sur ses indices trop élevés par rapport au groupe de comparaison, le principe de bonne foi n'avait pas été violé. Les demanderesses ont notamment relevé que les prestations, en l'absence du patient, représentaient proportionnellement le double de la facturation observée au sein de son groupe de comparaison et que la durée de ses consultations était excessive. Par ailleurs, les coûts totaux du défendeur, ainsi que son indice de régression avaient augmenté significativement ces dernières années, ce qui contredisait son affirmation selon laquelle sa pratique n'aurait pas changé. Les certifications et compétences supplémentaires du défendeur ne justifiaient pas qu'il facture davantage que ses confrères. Il avait en outre ajouté systématiquement la position Tarmed 00.0520 "consultation psychothérapeutique ou psychosociale par le spécialiste de premier recours" à toutes les consultations de base, si bien que sa facturation de cette position était dix fois supérieure à celle de son groupe de comparaison. À cet égard, il avait reconnu facturer des actes qui ne correspondaient pas exactement au tarif en ce qui concerne cette dernière position, ce qui violait la loi. Au demeurant, la marge de tolérance de 30% permettait de tenir compte des particularités et différences entre les cabinets médicaux. Les groupes de comparaison devant être déterminés en fonction du titre FMH et non des sous- spécialités, il a aussi été comparé au bon groupe de contrôle, à savoir celui des médecins praticiens. Quoi qu'il en soit, les coûts engendrés par les patients souffrant d'un SED constituaient moins de 2% des coûts du défendeur et ne sauraient dès lors justifier l'importance des surcoûts de sa pratique. Cela étant, le défendeur n'avait pas</w:t>
      </w:r>
    </w:p>
    <w:p>
      <w:r>
        <w:t>- 5/7-</w:t>
      </w:r>
    </w:p>
    <w:p>
      <w:r>
        <w:t>A/2282/2021 réussi à renverser la présomption ressortant de la méthode d'analyse de régression, selon laquelle sa pratique n'était pas conforme au principe de l'économicité.</w:t>
      </w:r>
    </w:p>
    <w:p>
      <w:r>
        <w:rPr>
          <w:b/>
        </w:rPr>
        <w:t>E. 9</w:t>
      </w:r>
    </w:p>
    <w:p>
      <w:r>
        <w:t>Dans sa duplique du 23 décembre 2022, le défendeur a persisté dans ses conclusions. Sur la base de ses statistiques internes pour 2019 portant sur la totalité de sa patientèle, il a déterminé le coût moyen annuel direct par patient SED à CHF 1'469.10 et à CHF 1'608.13 pour les patients TMS, étant précisé que le coût direct par patient ressortant de la statistique de régression était de CHF 690.-. Il y avait par ailleurs une grande différence entre le chiffre d'affaires 2019 résultant de ses statistiques internes et celui figurant dans la méthode d'analyse de régression. Sur un total de trois-cent-nonante-neuf patients, selon ses statistiques internes, cinquante-cinq souffraient d'un SED et dix-sept d'un TMS. Ces chiffres rendaient vraisemblables que sa pratique comportait des spécificités que la méthode statistique n'arrivait pas à appréhender. S'agissant de la position tarifaire 00.0520, il était notoire que les patients souffrant de douleurs chroniques présentaient plus de problèmes psychiques et requéraient plus de soins dans ce domaine. Cette position comprenait également les affections psychosomatiques. Or, la patientèle affectée de douleurs chroniques nécessitait un travail psychosomatique important (accompagnement du patient dans la compréhension de la maladie, recherche de nouveaux modes de vie dans le respect des limitations fonctionnelles, adhésion au diagnostic etc.). La durée des consultations n'était par ailleurs pas excessive au vu de sa spécialité. Le défendeur a contesté que seulement 2% de sa patientèle était affectée d'un SED ou d'un TMS. Les demanderesses n'ont pas non plus indiqué si les prescriptions de physiothérapie de longue durée avaient été avalisées par leurs médecins-conseil.</w:t>
      </w:r>
    </w:p>
    <w:p>
      <w:r>
        <w:rPr>
          <w:b/>
        </w:rPr>
        <w:t>E. 10</w:t>
      </w:r>
    </w:p>
    <w:p>
      <w:r>
        <w:t>Le 20 janvier 2023, le tribunal de céans a informé les parties qu'il avait l'intention d'ordonner une expertise analytique de la pratique médicale du défendeur et de la confier au Dr B______, spécialiste FMH en médecine générale. Il leur a également communiqué la mission d'expertise.</w:t>
      </w:r>
    </w:p>
    <w:p>
      <w:r>
        <w:rPr>
          <w:b/>
        </w:rPr>
        <w:t>E. 11</w:t>
      </w:r>
    </w:p>
    <w:p>
      <w:r>
        <w:t>Par écritures du 17 février 2023, les demanderesses se sont étonnées de l'intention du tribunal de céans d'ordonner une expertise analytique, dans la mesure où la patientèle affectée d'un SED ou d'un TMS n'apparaissait pas si importante au regard de l'ensemble des patients. Elles ont requis que l'expert examine autant de dossiers de patients relevant de la médicine générale que de patients affectés par un SED ou TMS.</w:t>
      </w:r>
    </w:p>
    <w:p>
      <w:r>
        <w:rPr>
          <w:b/>
        </w:rPr>
        <w:t>E. 12</w:t>
      </w:r>
    </w:p>
    <w:p>
      <w:r>
        <w:t>Par écritures du 20 février 2023, le défendeur s'est déclaré, pour l'essentiel, d'accord avec le choix de l'expert et sa mission.</w:t>
      </w:r>
    </w:p>
    <w:p>
      <w:r>
        <w:t>- 6/7-</w:t>
      </w:r>
    </w:p>
    <w:p>
      <w:r>
        <w:t>A/2282/2021 EN DROIT 1. Conformément au principe inquisitoire qui régit la procédure dans le domaine des assurances sociales (cf. art. 43 LPGA), l'administration est tenue d'ordonner une instruction complémentaire lorsque les allégations des parties et les éléments ressortant du dossier requièrent une telle mesure. En particulier, elle doit mettre en œuvre une expertise lorsqu'il apparaît nécessaire de clarifier les aspects médicaux du cas (ATF 117 V 283 consid. 4a; ATFA non publié du 19 mars 2004, I 751/03 consid. 3.3, RAMA 1985 K 646 p. 240 consid. 4). 2. En l'espèce, le défendeur traite en son cabinet un nombre important (18,5% selon la pièce 14 du défendeur) de patients affectés d'un SED ou d'un TMS. Il est en outre un spécialiste du traitement de la douleur et pratique la thérapie neurale. Ces particularités rendent difficile la comparaison de sa pratique médicale avec les médecins de son groupe de comparaison. C'est la raison pour laquelle le tribunal de céans juge nécessaire de procéder à une expertise analytique. 3. L'expertise sera confiée au Dr B______. 4. Quant à la mission de l'expert, il sera tenu compte des remarques des parties dans la mesure jugée nécessaire.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