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ATAS/130/2016 vom 23. Februar 2016</w:t>
      </w:r>
    </w:p>
    <w:p>
      <w:r>
        <w:t>GE Cour de justice, 2016-02-23, FR</w:t>
      </w:r>
    </w:p>
    <w:p>
      <w:r>
        <w:rPr>
          <w:b/>
        </w:rPr>
        <w:t xml:space="preserve">Quelle: </w:t>
      </w:r>
      <w:r>
        <w:t>https://mcp.opencaselaw.ch/entscheid/ge_gerichte_ATAS_130_2016</w:t>
      </w:r>
    </w:p>
    <w:p>
      <w:r>
        <w:t>FR: GE_GERICHTE ATAS/130/2016 du 23 février 2016</w:t>
      </w:r>
    </w:p>
    <w:p>
      <w:r>
        <w:t>IT: GE_GERICHTE ATAS/130/2016 del 23 febbraio 2016</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a été interjeté en temps utile (art. 60 al. 1 LPGA). Il satisfait aux exigences, peu élevées, de forme et de contenu prévues par l’art. 61 let. b LPGA (cf. aussi art. 89B LPA). La recourante est touchée par la décision attaquée et a un intérêt digne de protection à son annulation. Elle a donc qualité pour recourir (art. 59 LPGA). c. Partant, le recours sera déclaré recevable.</w:t>
      </w:r>
    </w:p>
    <w:p>
      <w:r>
        <w:rPr>
          <w:b/>
        </w:rPr>
        <w:t>E. 2</w:t>
      </w:r>
    </w:p>
    <w:p>
      <w:r>
        <w:t>Le litige porte sur le droit de la recourante à une rente d’invalidité, singulièrement sur sa capacité de travail et son degré d’invalidité.</w:t>
      </w:r>
    </w:p>
    <w:p>
      <w:r>
        <w:rPr>
          <w:b/>
        </w:rPr>
        <w:t>E. 3</w:t>
      </w:r>
    </w:p>
    <w:p>
      <w:r>
        <w:t>Est réputée invalidité, l'incapacité de gain totale ou partielle présumée permanente</w:t>
      </w:r>
    </w:p>
    <w:p>
      <w:r>
        <w:t>A/416/2015 - 7/17 -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w:t>
      </w:r>
    </w:p>
    <w:p>
      <w:r>
        <w:t>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5</w:t>
      </w:r>
    </w:p>
    <w:p>
      <w:r>
        <w:t>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27ss RAI ; ATF 137 V 334 consid. 3.1).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w:t>
      </w:r>
    </w:p>
    <w:p>
      <w:r>
        <w:t>A/416/2015 - 8/17 -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w:t>
      </w:r>
    </w:p>
    <w:p>
      <w:r>
        <w:rPr>
          <w:b/>
        </w:rPr>
        <w:t>E. 5.2</w:t>
      </w:r>
    </w:p>
    <w:p>
      <w:r>
        <w:t>et I 1/03 du 15 avril 2003, consid. 5.2).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123 V 150 consid. 2 et les références; arrêt du Tribunal fédéral 8C_337/2009 du 18 février 2010 consid. 7.5).</w:t>
      </w:r>
    </w:p>
    <w:p>
      <w:r>
        <w:rPr>
          <w:b/>
        </w:rPr>
        <w:t>E. 6</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de s'en écarte et de recourir aux données statistiques résultant de l’ESS éditée par l'Office fédéral de la statistique. Tel sera notamment le cas lorsque le dernier salaire perçu par l’assuré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A/416/2015 - 9/17 -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A/416/2015 - 10/17 -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Mais ce principe n’est pas absolu. Sa portée est restreinte par le devoir des parties de collaborer à l’instruction de l’affaire (art. 61 let. c LPGA). Celui-ci comprend en particulier l’obligation des parties d’apporter, dans la</w:t>
      </w:r>
    </w:p>
    <w:p>
      <w:r>
        <w:t>A/416/2015 - 11/17 -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9</w:t>
      </w:r>
    </w:p>
    <w:p>
      <w:r>
        <w:t>En premier lieu, la recourante conteste implicitement le choix de la méthode d’évaluation de l’invalidité en reprochant à l’intimé de ne pas avoir mis sur pied une enquête ménagère. À titre liminaire, on rappellera que la recourante, âgée de 49 ans lors du prononcé de la décision litigieuse et sans formation professionnelle, est arrivée en Suisse en</w:t>
      </w:r>
    </w:p>
    <w:p>
      <w:r>
        <w:t>A/416/2015 - 12/17 - 1992. Elle a travaillé à Genève dès 1993 pour le compte de divers employeurs, en dernier lieu à 100 % jusqu’au 5 juillet 2004 comme employée polyvalente dans un établissement médico-social, en continuant toutefois à percevoir son salaire jusqu’en mars 2005, selon son extrait de compte individuel AVS. Elle s’est ensuite inscrite au chômage, apparemment à 100 % au vu du montant des indemnités journalières qu’elle a touchées de mars 2005 à octobre 2006. De son union avec son ex-époux est issue une fille, âgée de 13 ans, dont elle assume la garde. Depuis juin 2007, l’assurée et sa fille dépendent de l’aide sociale. Son ex-mari contribue à l’entretien de sa fille par le versement d’une pension mensuelle de CHF 300.-. La chambre de céans constate que la recourante a exercé sa dernière activité lucrative à plein temps, qu’elle s’est inscrite au chômage, est en âge de travailler et ne dispose d’aucune ressource hormis la modeste pension de CHF 300.- que lui verse son ex-mari pour sa fille. Eu égard à la situation économique précaire de l’assurée, à son parcours professionnel et à son âge, il paraît hautement vraisemblable que sans atteinte à la santé liée à l’asthme, elle aurait continué à travailler à plein temps afin de subvenir par ses propres moyens à son entretien et à celui de sa fille. Partant, c’est à bon droit que l’intimé a retenu un statut d’active et a déterminé son degré d’invalidité sur la base de la méthode ordinaire de comparaison des revenus. L’assurée ne soulève pas le moindre argument qui permettrait de remettre en question le choix de cette méthode d’évaluation de l’invalidité. Corollairement, l’office n’avait aucune raison d’ordonner une enquête ménagère, étant rappelé qu’une telle enquête permet d’évaluer l’invalidité des assurés qui n’exerçaient pas d’activité lucrative avant d’être atteints dans leur santé, ce qui n’est précisément pas le cas en l’espèce (art. 5 al. 1 LAI, en corrélation avec les art. 28a al. 2 LAI et 27 RAI).</w:t>
      </w:r>
    </w:p>
    <w:p>
      <w:r>
        <w:rPr>
          <w:b/>
        </w:rPr>
        <w:t>E. 10</w:t>
      </w:r>
    </w:p>
    <w:p>
      <w:r>
        <w:t>Il convient à présent de se prononcer sur la capacité de travail. a. Faisant siennes les conclusions de son service médical, elles-mêmes fondées sur celles du Dr B______, l’intimé considère que la recourante bénéficie, depuis mai 2014 au plus tard, d’une pleine capacité de travail dans toute activité adaptée à ses limitations fonctionnelles. De son côté, la recourante se prévaut d’une incapacité de travail totale, résultant de crises d’asthme avec syndrome de Widal, de douleurs rhumatologiques, abdominales et d’un état dépressif. b. Dans ses différents rapports, le Dr B______, pneumologue et médecin généraliste de l’assurée depuis 1995, a posé les diagnostics avec répercussions sur la capacité de travail d’asthme sévère avec syndrome de Widal, et, sans incidence sur celle-ci, de tabagisme et de douleurs abdominales fonctionnelles chroniques. Il a exposé que l’assurée avait été totalement incapable de travailler depuis le</w:t>
      </w:r>
    </w:p>
    <w:p>
      <w:r>
        <w:t>A/416/2015 - 13/17 - 27 octobre 2009, mais que ses crises d’asthme avaient diminué de manière spectaculaire grâce à un traitement anti-IgE prescrit en février 2011, de sorte qu’elle ne présentait désormais plus que des poussées d’asthme occasionnelles, trois à quatre fois par année. En mai 2014, elle avait bénéficié d’une amélioration subséquente de son asthme et de ses douleurs abdominales, suivie d’une nouvelle amélioration en février 2015 avec l’introduction d’un nouveau traitement. Il a conclu à une pleine capacité de travail depuis mai 2014 dans toute activité adaptée, moyennant le respect de certaines limitations ayant trait notamment à l’exposition à la poussière, à la pollution et aux efforts soutenus prolongés. Il a précisé que ces limitations découlaient de l’asthme et non d’une pathologie rhumatologique. Par ailleurs, les douleurs abdominales, qui résultaient d’un syndrome de l’intestin irritable, ne justifiaient aucune incapacité de travail durable. c. La recourante ne conteste pas la valeur probante des rapports établis par son propre médecin, et ne met pas en évidence d’omission susceptible de la remettre en cause. Bien qu’un léger doute subsiste sur le point de savoir si c’est depuis 2012 ou mai 2014 que l’assurée bénéficie, selon son médecin-traitant, d’une pleine capacité de travail dans toute activité adaptée, cette question peut souffrir de rester indécise puisque cette dernière a quoi qu’il en soit recouvré sa capacité de travail avant le dépôt de sa demande. Partant, il n’existe a priori aucune raison de remettre en cause les conclusions motivées du Dr B______. d. L’allégation selon laquelle la recourante souffrirait d’une incapacité de travail totale n’est pas démontrée. À l’appui de sa thèse, elle invoque de fortes douleurs abdominales. Toutefois, ces douleurs ne sont pas considérées par le Dr B______ comme incapacitantes et rien ne laisse penser qu’elles puissent l’être, puisqu’elles sont apparemment traitées au moyen d’antalgiques classiques. e. L’assurée se prévaut, pour la première fois au stade du recours, de douleurs rhumatologiques et d’un état dépressif. La chambre de céans relève que les douleurs rhumatologiques invoquées ne sont pas documentées, les rapports transmis par l’assurée ne faisant état d’aucune atteinte de cette nature. Sur le plan psychiatrique, cette dernière a certes produit une attestation de la Dresse D______ mentionnant une incapacité de travail en lien avec un trouble de l’adaptation et une réaction anxio-dépressive sévère. Cependant, force est de constater que ce document se rapporte à la période courant du 12 mai au 1er octobre 2015, donc postérieure à la décision litigieuse. Or, le juge appelé à se prononcer sur la légalité d'une décision rendue par une assurance sociale doit apprécier l'état de fait déterminant existant au moment où la décision attaquée a été rendue. Les faits survenus postérieurement, qui ont modifié cette situation, doivent normalement faire l’objet d’une nouvelle décision administrative (ATF 121 V 366 consid. 1b). Quoi qu’il en soit, la valeur probante de ce bref rapport psychiatrique est sujette à caution : il se borne à énumérer les plaintes de l’assurée, ne contient</w:t>
      </w:r>
    </w:p>
    <w:p>
      <w:r>
        <w:t>A/416/2015 - 14/17 - aucune description clinique et atteste d’un suivi de quatre mois et demi, durée qui paraît de prime abord insuffisante pour qu’une appréciation fiable de la capacité de travail soit donnée (arrêt du Tribunal fédéral 9C_144 2010 du 10 décembre 2010, consid. 4.1). f. L’assurée allègue également, pour la première fois dans son écriture du 11 février 2016 qu’elle souffre d’une cataracte de l’œil gauche, certificat ophtalmologique à l’appui. À nouveau, le certificat qu’elle invoque se rapporte à une période postérieure à la décision litigieuse. Il ne mentionne au demeurant pas d’incapacité de travail. On ne voit donc pas quel argument elle pourrait en tirer dans le cadre de la présente procédure. g. Au vu de ce qui précède, les conclusions du Dr B______ et du SMR emportent la conviction de la chambre de céans, de sorte que celle-ci retiendra, au degré de la vraisemblance prépondérante, que la recourante est totalement incapable d’exercer son ancienne activité d’employée en EMS depuis le 27 octobre 2009, mais qu’elle est en revanche capable d’exercer à plein temps toute activité respectant les limitations retenues par le SMR et ce, depuis le 1er mai 2014 au plus tard.</w:t>
      </w:r>
    </w:p>
    <w:p>
      <w:r>
        <w:rPr>
          <w:b/>
        </w:rPr>
        <w:t>E. 11</w:t>
      </w:r>
    </w:p>
    <w:p>
      <w:r>
        <w:t>Il convient à présent de se prononcer sur le degré d’invalidité et partant, sur le droit à une rente d’invalidité. a. Depuis le 1er mai 2014, la recourante a recouvré une pleine capacité de travail dans toute profession adaptée à ses limitations. L’intimé a déterminé qu’elle présentait un degré d’invalidité de 10 % en se fondant, pour le revenu sans invalidité et le revenu d’invalide, sur la même tabelle statistique (Enquête suisse sur la structure des salaires 2012, tableau TA1, niveau 4, femme, compte tenu d’un taux d’activité de 100 % et d’un horaire de travail hebdomadaire de 41.7 heures). Il a ensuite opéré une déduction de 10 % sur le revenu d’invalide afin de tenir compte de ses limitations fonctionnelles, obtenant ainsi un revenu sans invalidité de CHF 52'282.- et un revenu d’invalide de CHF 47'054.-. b. La recourante ne conteste pas la fixation de ses revenus avec et sans invalidité sur une base statistique, méthode qui ne prête quoi qu’il en soit pas le flanc à la critique, dans la mesure où elle n’a pas repris d’activité lucrative depuis plusieurs années et où le revenu réalisé dans sa dernière activité était largement inférieur aux normes de salaires usuelles. c. En revanche, elle soutient que l'intimé aurait dû opérer un abattement de 25 % sur son revenu d’invalide, compte tenu de ses limitations, de sa nationalité étrangère et de son « taux d’occupation ». La chambre de céans relève toutefois que cette question n’est pas déterminante pour trancher la question litigieuse, car si l’on opérait la déduction sollicitée sur son revenu d’invalide, son degré d’invalidité s’élèverait à 25 % (100 x (52’282 –</w:t>
      </w:r>
    </w:p>
    <w:p>
      <w:r>
        <w:t>A/416/2015 - 15/17 - 39’211 / 52’282), taux qui resterait insuffisant pour ouvrir droit à une rente d’invalidité. d. En tout état de cause, aucun élément ne justifie de s’écarter du taux d’abattement de 10 % retenu par l’intimé : les limitations fonctionnelles de la recourante, liées à l’asthme, ont déjà été prises en compte et paraissent au demeurant modestes, puisqu’elles consistent essentiellement à éviter les activités physiquement astreignantes ainsi que l’exposition aux poussières. Son âge – 49 ans lors du prononcé de la décision litigieuse – ne peut pas être considéré comme un facteur la contraignant à mettre en valeur sa capacité résiduelle de travail à des conditions économiques plus défavorables que la moyenne. Sa nationalité étrangère ne constitue pas non plus un élément justifiant une réduction supplémentaire du revenu d’invalide, attendu qu’elle est titulaire d’une autorisation d’établissement et que les salaires statistiques sont établis en fonction de la population résidente aussi bien suisse qu'étrangère (arrêts du Tribunal fédéral 9C_160/2014 du 30 juin 2014, consid. 5.2 ; I 700/04 du 17 janvier 2006, consid. 4.3.3). Enfin, le critère du taux d’occupation partiel n’entre pas en ligne de compte s’agissant d’une assurée capable d’exercer à plein temps toute activité adaptée à ses limitations. e. Depuis le mois de mai 2014, la recourante présente un degré d’invalidité de 10 %. Ce taux, inférieur à 40 %, ne lui donne pas droit au versement d’une rente d’invalidité (art. 28 al. 1 LAI). f. Pour le surplus, elle ne conclut pas à l’octroi de mesures d’ordre professionnel, à juste titre, puisque son degré d’invalidité n’atteint pas le seuil minimal de 20 % permettant l’octroi d’une mesure de reclassement (arrêt du Tribunal fédéral 9C_385/2009 du 13 octobre 2009).</w:t>
      </w:r>
    </w:p>
    <w:p>
      <w:r>
        <w:rPr>
          <w:b/>
        </w:rPr>
        <w:t>E. 12</w:t>
      </w:r>
    </w:p>
    <w:p>
      <w:r>
        <w:t>Dans la mesure où plusieurs atteintes ont été invoquées pour la première fois au stade du recours, on précisera que si la recourante estime que son état de santé s’est péjoré dans une mesure notable depuis le 9 janvier 2015, date de la décision litigieuse, il lui est loisible de déposer une nouvelle demande auprès de l'OAI, accompagnée de certificats et rapports médicaux.</w:t>
      </w:r>
    </w:p>
    <w:p>
      <w:r>
        <w:rPr>
          <w:b/>
        </w:rPr>
        <w:t>E. 13</w:t>
      </w:r>
    </w:p>
    <w:p>
      <w:r>
        <w:t>Les pièces versées au dossier permettent de statuer sur le droit à une rente d’invalidité. Partant, il n’y a pas lieu d’ordonner de mesure d’instruction complémentaire, que ce soit sous la forme d’une comparution personnelle ou d’une expertise judiciaire pluridisciplinaire, par appréciation anticipée des preuves. Un renvoi du dossier à l’autorité inférieure ne se justifie pas davantage. En effet, la recourante n’a pas été en mesure de produire d’élément probant corroborant l’incapacité de travail dont elle se prévaut, de sorte qu’elle doit en supporter les conséquences, sans qu’un renvoi à l’administration pour instruction complémentaire ne se justifie (arrêt du Tribunal fédéral I 294/02 du 20 novembre 2002).</w:t>
      </w:r>
    </w:p>
    <w:p>
      <w:r>
        <w:t>A/416/2015 - 16/17 -</w:t>
      </w:r>
    </w:p>
    <w:p>
      <w:r>
        <w:rPr>
          <w:b/>
        </w:rPr>
        <w:t>E. 14</w:t>
      </w:r>
    </w:p>
    <w:p>
      <w:r>
        <w:t>Mal fondé, le recours est rejeté. Bien que la procédure ne soit pas gratuite (art. 69 al. 1bis LAI), il convient de renoncer à la perception d'un émolument, la recourante étant au bénéfice de l'assistance juridique (art. 12 al. 1 du règlement sur les frais, émoluments et indemnités en procédure administrative du 30 juillet 1986; RS E 510.03).</w:t>
      </w:r>
    </w:p>
    <w:p>
      <w:r>
        <w:t>* * * * *</w:t>
      </w:r>
    </w:p>
    <w:p>
      <w:r>
        <w:t>A/416/2015 - 17/17 -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