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ATAS/130/2015 vom 18. Februar 2015</w:t>
      </w:r>
    </w:p>
    <w:p>
      <w:r>
        <w:t>GE Cour de justice, 2015-02-18, FR</w:t>
      </w:r>
    </w:p>
    <w:p>
      <w:r>
        <w:rPr>
          <w:b/>
        </w:rPr>
        <w:t xml:space="preserve">Quelle: </w:t>
      </w:r>
      <w:r>
        <w:t>https://mcp.opencaselaw.ch/entscheid/ge_gerichte_ATAS_130_2015</w:t>
      </w:r>
    </w:p>
    <w:p>
      <w:r>
        <w:t>FR: GE_GERICHTE ATAS/130/2015 du 18 février 2015</w:t>
      </w:r>
    </w:p>
    <w:p>
      <w:r>
        <w:t>IT: GE_GERICHTE ATAS/130/2015 del 18 febbraio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la juge de première instance a ordonné le partage par moitié des prestations de sortie acquises durant le mariage par les demandeurs. Les dates pertinentes sont, d’une part, celle du mariage, le 23 mai 2003, d’autre part le 2 septembre 2014, date à laquelle le jugement de divorce est devenu exécutoire. La juge du divorce a par ailleurs précisé dans son dispositif que la somme de CHF 25'000.- payée le 23 décembre 2004 devra être déduite, avant partage, des avoirs du demandeur déposés auprès de la fondation de prévoyance Aromed, ainsi que les intérêts versés depuis lors sur cette somme par l’institution de prévoyance. Il était en effet établi que ce versement constituait un remploi de la prévoyance antérieure</w:t>
      </w:r>
    </w:p>
    <w:p>
      <w:r>
        <w:t>A/3230/2014 5/6 au mariage du demandeur et provenait de ses biens propres (cf. jugement du 15 octobre 2013, consid. E, p. 11). Il sied de relever que l'art. 22 al. 3 LFLP implique effectivement la comptabilisation dans la prestation de sortie au moment du divorce des rachats effectués pendant le mariage sauf si ces rachats ont été financés au moyen de biens qui, dans le régime matrimonial de la participation aux acquêts (cf. arrêts 9C_353/2012 du 25 octobre 2012, 9C_738/2009 du 30 mars 2010 consid. 4 in SVR 2010 BVG n° 43 p. 164), entreraient de par la loi dans les biens propres (cf. également arrêt B 128/05 du 25 juillet 2006 consid. 4.3 in RSAS 2007 p. 381). Peu importe que lesdits rachats ait été payés par l'assuré, son employeur ou l'institution de prévoyance (SCHNEIDER/GEISER/GÄCHTER, Commentaire LPP et LFLP 2010, n° 40 ad art. 22 LFLP). Au vu de ce qui précède, il convient de déduire des avoirs de prévoyance du demandeur la somme de CHF 25'000.-, plus les intérêts courant du 23 décembre 2004 au 2 septembre 2014.</w:t>
      </w:r>
    </w:p>
    <w:p>
      <w:r>
        <w:rPr>
          <w:b/>
        </w:rPr>
        <w:t>E. 5</w:t>
      </w:r>
    </w:p>
    <w:p>
      <w:r>
        <w:t>Selon les documents produits, la prestation acquise pendant le mariage par le demandeur s’élève à CHF 383'692.66 (414'305.35 [19'035.85 + 395'269.50] – 30'612.69 [25'000.00 + 5'612.69 d’intérêts du 23.12.2004 au 2.09.2014]). Celle acquise par la demanderesse est de CHF 212'893.93 (247'426.85 – 34'532.92 [27'062.10 + 7'470.82 d’intérêts du 23.05.2003 au 2.09.2014]). Ainsi le demandeur doit à son ex-épouse le montant de CHF 191'846.33 (383'692.66 : 2) et celle-ci lui doit le montant de CHF 106'446.96 (212'893.93 : 2). En définitive, le demandeur doit à la demanderesse le montant de CHF 85'399.37.</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A/3230/2014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