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ATAS/130/2012 vom 14. Februar 2012</w:t>
      </w:r>
    </w:p>
    <w:p>
      <w:r>
        <w:t>GE Cour de justice, 2012-02-14, FR</w:t>
      </w:r>
    </w:p>
    <w:p>
      <w:r>
        <w:rPr>
          <w:b/>
        </w:rPr>
        <w:t xml:space="preserve">Quelle: </w:t>
      </w:r>
      <w:r>
        <w:t>https://mcp.opencaselaw.ch/entscheid/ge_gerichte_ATAS_130_2012</w:t>
      </w:r>
    </w:p>
    <w:p>
      <w:r>
        <w:t>FR: GE_GERICHTE ATAS/130/2012 du 14 février 2012</w:t>
      </w:r>
    </w:p>
    <w:p>
      <w:r>
        <w:t>IT: GE_GERICHTE ATAS/130/2012 del 14 febbraio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versements en espèces sortent du système de la prévoyance professionnelle, et ne donnent pas lieu au partage (cf. message du Conseil fédéral, in FF 1996, p. 110). En revanche, les avoirs de prévoyance professionnelle utilisés pour acquérir un logement à titre d'encouragement à l'accession de la propriété font partie des avoirs soumis au partage, car ils demeurent liés à un but de prévoyance et constituent un prêt, puisqu'ils doivent être restitués à certaines conditions à l'institution de prévoyance ou peuvent être remboursés. Ainsi, la somme retirée doit être ajoutée aux avoirs de prévoyance à partager, mais sans intérêts (cf. Jacques-André SCHNEIDER, Jurisprudence 2005 du TF en matière de prévoyance professionnelle, p. 32 et jurisprudence citée; ATF 128 V p. 230). D'ailleurs, l'art. 30 c al. 6 LPP prévoit expressément la prise en compte de ce versement anticipé dans le calcul.</w:t>
      </w:r>
    </w:p>
    <w:p>
      <w:r>
        <w:t>A/3129/2011 6/7</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les intérêts dus au demandeur sur la somme de 16'662 fr. 45 existant au jour du mariage ont été calculés par la BANQUE XE__________ et se montent à 5'479 fr. 65.</w:t>
      </w:r>
    </w:p>
    <w:p>
      <w:r>
        <w:rPr>
          <w:b/>
        </w:rPr>
        <w:t>E. 4</w:t>
      </w:r>
    </w:p>
    <w:p>
      <w:r>
        <w:t>En l’espèce, le juge de première instance a ordonné le partage par moitié des prestations de sortie acquises durant le mariage par les demandeurs. Les dates pertinentes sont, d’une part, celle du mariage, le 25 juin 1999, d’autre part le 22 septembre 2011, date à laquelle le jugement de divorce est devenu exécutoire. Il s'avère que la demanderesse a été affiliée dès le 1er janvier 2006 seulement, le revenu réalisé de 2004 à 2006 étant inférieur au minimum LPP. Par ailleurs et conformément à la jurisprudence susmentionnée, le montant de 100'052 fr. 70 utilisé pour acquérir la maison familiale doit également être partagé par moitié.</w:t>
      </w:r>
    </w:p>
    <w:p>
      <w:r>
        <w:rPr>
          <w:b/>
        </w:rPr>
        <w:t>E. 5</w:t>
      </w:r>
    </w:p>
    <w:p>
      <w:r>
        <w:t>Selon les documents produits, la prestation acquise pendant le mariage par le demandeur est de 237'595 fr. 95 tandis que celle acquise par la demanderesse est de 2'223 fr. 40, les intérêts ayant déjà été calculés par les institutions de prévoyance défenderesses. Ainsi le demandeur doit à son ex-épouse le montant de 118'798 fr. (237'595 fr. 95: 2) et celle-ci doit à celui-là le montant de 1'111 fr. 70 (2'223 fr. 40 fr. : 2), de sorte que c’est le demandeur qui doit à la demanderesse le montant de 117'686 fr. 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A/3129/2011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