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ATAS/1309/2009 vom 28. Oktober 2009</w:t>
      </w:r>
    </w:p>
    <w:p>
      <w:r>
        <w:t>GE Cour de justice, 2009-10-28, FR</w:t>
      </w:r>
    </w:p>
    <w:p>
      <w:r>
        <w:rPr>
          <w:b/>
        </w:rPr>
        <w:t xml:space="preserve">Quelle: </w:t>
      </w:r>
      <w:r>
        <w:t>https://mcp.opencaselaw.ch/entscheid/ge_gerichte_ATAS_1309_2009</w:t>
      </w:r>
    </w:p>
    <w:p>
      <w:r>
        <w:t>FR: GE_GERICHTE ATAS/1309/2009 du 28 octobre 2009</w:t>
      </w:r>
    </w:p>
    <w:p>
      <w:r>
        <w:t>IT: GE_GERICHTE ATAS/1309/2009 del 28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l'état de santé du recourant s'est amélioré au point de justifier une suppression de la rente d'invalidité dont il bénéficie.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w:t>
      </w:r>
    </w:p>
    <w:p>
      <w:r>
        <w:t>A/578/2009 - 8/13 -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5</w:t>
      </w:r>
    </w:p>
    <w:p>
      <w:r>
        <w:t>En ce qui concerne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A/578/2009 - 9/13 -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w:t>
      </w:r>
    </w:p>
    <w:p>
      <w:r>
        <w:rPr>
          <w:b/>
        </w:rPr>
        <w:t>E. 8</w:t>
      </w:r>
    </w:p>
    <w:p>
      <w:r>
        <w:t>En l'espèce, le Pr B__________ a relevé la bonne évolution de la maladie HIV sous thérapie antivirale et a émis un bon pronostic sous traitement à long terme. Aucune affection psychique n'est relevée dans ses rapports des 28 février et 15 mai 2008, ainsi que du 3 juin 2009. Par ailleurs, le recourant ne suit aucun traitement psychiatrique ni médicamenteux ni sous forme d'une psychothérapie. Partant, même s'il devait souffrir de quelques troubles dépressifs, il y aurait lieu de considérer que ceux-ci n'atteignent de loin pas le degré de sévérité nécessaire pour engendrer une incapacité de travail. Dans ces conditions, peu importe que l'absence de troubles psychiques majeurs n'ait pas été constatée par un spécialiste en la matière. Ainsi, il y a lieu d'admettre une amélioration de l'état de santé du recourant par rapport à celui prévalant à la date de la dernière décision du 19 février 2003 de l'intimé. En ce qui concerne la capacité de travail, le Pr B__________ a certes indiqué, dans son rapport du 15 mai 2008, qu'il y avait une "invalidité à 100 % de longue durée". Se faisant, il s'est cependant manifestement référé au fait que son patient était au bénéfice d'une rente invalidité entière. Par ailleurs, dans son dernier rapport du 3 juin 2009, il ne relève nullement que son patient n'aurait pas de capacité de travail ou que celle-ci serait limitée, alors même qu'il est au courant de la suppression de la rente. Ainsi, il convient d'admettre avec le Dr C__________ que le recourant a recouvré une capacité de travail entière.</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w:t>
      </w:r>
    </w:p>
    <w:p>
      <w:r>
        <w:t>A/578/2009 - 10/13 -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w:t>
      </w:r>
    </w:p>
    <w:p>
      <w:r>
        <w:rPr>
          <w:b/>
        </w:rPr>
        <w:t>E. 10</w:t>
      </w:r>
    </w:p>
    <w:p>
      <w:r>
        <w:t>En l'espèce, il convient certes d'admettre que le recourant a recouvré une pleine capacité de travail. Néanmoins, du fait de son invalidité, il a perdu son travail chez X__________ SA où il réalisait un revenu relativement élevé. Aujourd'hui, il ne pourrait plus travailler dans cette société, celle-ci ayant fait faillite. Par ailleurs, le recourant ayant une formation de boucher, il a a priori peu de chances de retrouver un emploi dans une activité administrative lui procurant le même revenu. Il est à cet égard à relever que X__________ SA a été fondée par le recourant et qu'il en a été l'administrateur. De ce fait, il a pu exercer une activité dans le commerce de produits carnés, sans posséder une formation commerciale proprement dite. Dans ces conditions, il convient d'effectuer une comparaison des salaires entre les revenus du recourant sans invalidité et les revenus effectivement réalisés.</w:t>
      </w:r>
    </w:p>
    <w:p>
      <w:r>
        <w:rPr>
          <w:b/>
        </w:rPr>
        <w:t>E. 11</w:t>
      </w:r>
    </w:p>
    <w:p>
      <w:r>
        <w:t>Les déclarations concernant les revenus réalisés par le recourant avant son invalidité sont contradictoires. Dans le questionnaire pour l'employeur daté du 24 octobre 2000, X__________ SA a déclaré que le recourant avait un salaire annuel de 120'000 fr. et qu'il aurait réalisé sans atteinte à la santé un salaire de 144'000 fr. par an. Toutefois, il semble que ce questionnaire ait été signé par le recourant lui- même, dès lors qu'il était administrateur de cette société. Dans son courrier du 8</w:t>
      </w:r>
    </w:p>
    <w:p>
      <w:r>
        <w:t>A/578/2009 - 11/13 - juillet 2009, il allègue avoir réalisé un salaire de 9'230 fr. par mois, versé 13 fois l'an, ce qui correspond à un salaire annuel de 119'990. Cela ne concorde cependant pas avec les indications figurant dans le questionnaire pour l'employeur, selon lesquelles son revenu AVS mensuel était de 12'000 fr. de janvier à juin 1998, de 4'200 fr. en juillet 1998 et dès cette date de 6'000 fr. jusqu'en avril 2000, étant précisé que l'employeur a enregistré une incapacité de travail totale de 100% dès le mois suivant. Enfin, les indications ne correspondent pas non plus au compte individuel du recourant, selon lequel son revenu AVS était en 1998 de 106'000 fr. et en 1999 de 100'000 fr. Cela étant, le Tribunal se fondera sur les revenus AVS déclarés en 1998, soit un revenu annuel de 106'000 fr. En effet, il ne semble pas que le recourant ait diminué son temps de travail en cette année, dès lors qu'il a déclaré avoir consacré beaucoup de temps à sa société, dans son courrier du 8 juillet 2009, alors qu'il était déjà malade lors de la fondation de celle-ci en 1995. Par ailleurs, une dépression n'est attestée que dès 2000. Les revenus AVS des autres années, tels qu'ils ressortent de son compte individuel, sont enfin inférieurs à celui de 1998. En tenant compte de l'évolution des salaires entre 1998 et 2008 (indice 1998 1832 et indice 2008 2092; cf. La Vie économique10/2003 et 9/2009, B10.3 respectivement p. 99 et 95), ce salaire se serait élevé en 2008 à 121'044 fr. par an, en chiffres ronds. Quant aux revenus d'invalide, le recourant a en principe ouvert en août 2009 un café-restaurant en raison individuelle. En comparution personnelle, il a déclaré qu'il réalisera un salaire de 6'000 fr., ce qui représente 72'000 fr. par an. Il est vrai que, lors de son affiliation à une caisse de pension, par demande signée le 22 juin 2009, il n'a indiqué qu'une masse salariée désirée de 63'000 fr. Toutefois, dès lors que le recourant est de toute manière son propre patron, il n'y a pas de raison de s'écarter de ses indications à ce sujet données lors de son audition. En comparant les revenus avec et sans invalidité, il appert que le recourant subit une perte de gains de 40,52 %, même en admettant qu'il a recouvert une pleine capacité de travail. Un tel taux ouvre le droit à un quart de rente d'invalidité.</w:t>
      </w:r>
    </w:p>
    <w:p>
      <w:r>
        <w:t>Par la suite, il appartiendra à l'intimé de vérifier d'année en année les revenus effectivement réalisés par le recourant et, le cas échéant, de procéder à une suppression de sa rente, en fonction du montant de ceux-ci.</w:t>
      </w:r>
    </w:p>
    <w:p>
      <w:r>
        <w:rPr>
          <w:b/>
        </w:rPr>
        <w:t>E. 12</w:t>
      </w:r>
    </w:p>
    <w:p>
      <w:r>
        <w:t>Au vu de ce qui précède, le recours sera partiellement admis et la décision litigieuse annulée. Le recourant sera par ailleurs mis au bénéfice d'un quart de rente d'invalidité à compter du 1er mars 2009.</w:t>
      </w:r>
    </w:p>
    <w:p>
      <w:r>
        <w:rPr>
          <w:b/>
        </w:rPr>
        <w:t>E. 13</w:t>
      </w:r>
    </w:p>
    <w:p>
      <w:r>
        <w:t>Au vu de l'issue de la procédure, l'intimé sera condamné à verser au recourant une indemnité de 1'500 fr. à titre de dépens.</w:t>
      </w:r>
    </w:p>
    <w:p>
      <w:r>
        <w:t>A/578/2009 - 12/13 -</w:t>
      </w:r>
    </w:p>
    <w:p>
      <w:r>
        <w:rPr>
          <w:b/>
        </w:rPr>
        <w:t>E. 14</w:t>
      </w:r>
    </w:p>
    <w:p>
      <w:r>
        <w:t>L'émolument de justice de 200 fr. est mis à la charge de l'intimé.</w:t>
      </w:r>
    </w:p>
    <w:p>
      <w:r>
        <w:t>A/578/2009 - 13/13 -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