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ATAS/1307/2009 vom 28. Oktober 2009</w:t>
      </w:r>
    </w:p>
    <w:p>
      <w:r>
        <w:t>GE Cour de justice, 2009-10-28, FR</w:t>
      </w:r>
    </w:p>
    <w:p>
      <w:r>
        <w:rPr>
          <w:b/>
        </w:rPr>
        <w:t xml:space="preserve">Quelle: </w:t>
      </w:r>
      <w:r>
        <w:t>https://mcp.opencaselaw.ch/entscheid/ge_gerichte_ATAS_1307_2009</w:t>
      </w:r>
    </w:p>
    <w:p>
      <w:r>
        <w:t>FR: GE_GERICHTE ATAS/1307/2009 du 28 octobre 2009</w:t>
      </w:r>
    </w:p>
    <w:p>
      <w:r>
        <w:t>IT: GE_GERICHTE ATAS/1307/2009 del 28 ottobre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recevable. Au fond :</w:t>
      </w:r>
    </w:p>
    <w:p>
      <w:r>
        <w:rPr>
          <w:b/>
        </w:rPr>
        <w:t>E. 2</w:t>
      </w:r>
    </w:p>
    <w:p>
      <w:r>
        <w:t>L’admet et annule les décisions des 17 octobre 2008 et 14 avril 2009.</w:t>
      </w:r>
    </w:p>
    <w:p>
      <w:r>
        <w:rPr>
          <w:b/>
        </w:rPr>
        <w:t>E. 3</w:t>
      </w:r>
    </w:p>
    <w:p>
      <w:r>
        <w:t>Renvoie la cause au SPC pour nouveau calcul des prestations dues, conformément aux principes retenus dans l’arrêt A/45/2009 et aux conclusions prises les 18 septembre et 13 octobre 2009 par l’intimé, s’agissant de la prise en compte de la fortune.</w:t>
      </w:r>
    </w:p>
    <w:p>
      <w:r>
        <w:rPr>
          <w:b/>
        </w:rPr>
        <w:t>E. 4</w:t>
      </w:r>
    </w:p>
    <w:p>
      <w:r>
        <w:t>L’y condamne en tant que de besoin.</w:t>
      </w:r>
    </w:p>
    <w:p>
      <w:r>
        <w:rPr>
          <w:b/>
        </w:rPr>
        <w:t>E. 5</w:t>
      </w:r>
    </w:p>
    <w:p>
      <w:r>
        <w:t>Condamne le SPC à payer au recourant la somme de 3'000 fr. à titre de participation à ses frais et dépens.</w:t>
      </w:r>
    </w:p>
    <w:p>
      <w:r>
        <w:rPr>
          <w:b/>
        </w:rPr>
        <w:t>E. 6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