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ATAS/1306/2012 vom 30. Oktober 2012</w:t>
      </w:r>
    </w:p>
    <w:p>
      <w:r>
        <w:t>GE Cour de justice, 2012-10-30, FR</w:t>
      </w:r>
    </w:p>
    <w:p>
      <w:r>
        <w:rPr>
          <w:b/>
        </w:rPr>
        <w:t xml:space="preserve">Quelle: </w:t>
      </w:r>
      <w:r>
        <w:t>https://mcp.opencaselaw.ch/entscheid/ge_gerichte_ATAS_1306_2012</w:t>
      </w:r>
    </w:p>
    <w:p>
      <w:r>
        <w:t>FR: GE_GERICHTE ATAS/1306/2012 du 30 octobre 2012</w:t>
      </w:r>
    </w:p>
    <w:p>
      <w:r>
        <w:t>IT: GE_GERICHTE ATAS/1306/2012 del 30 ottobre 2012</w:t>
      </w:r>
    </w:p>
    <w:p>
      <w:pPr>
        <w:pStyle w:val="Heading2"/>
      </w:pPr>
      <w:r>
        <w:t>Erwägungen</w:t>
      </w:r>
    </w:p>
    <w:p>
      <w:r>
        <w:rPr>
          <w:b/>
        </w:rPr>
        <w:t>E. 2</w:t>
      </w:r>
    </w:p>
    <w:p>
      <w:r>
        <w:t>juin 2012 ; Qu'ainsi, le délai de recours est parvenu à échéance le lundi 2 juillet 2012 ; Que force est de constater que le recours reçu au greffe de la Cour de céans le 14 août 2012 n’a pas été interjeté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la recourante explique avoir envoyé son courrier une première fois et, vu l'absence de réaction de l'OAI, l'avoir envoyé une seconde fois ; Qu'il apparaît toutefois peu vraisemblable qu'elle ait effectivement procédé à une première expédition le 13 juin 2012, dans la mesure où le pli adressé à l'OAI est également parvenu à destination le 17 août 2012 seulement ; Qu'au vu de ce qui précède, une restitution du délai n'entre pas en considération ;</w:t>
      </w:r>
    </w:p>
    <w:p>
      <w:r>
        <w:t>A/2506/2012 - 4/5 - Qu'il y a en conséquence lieu de déclarer le recours irrecevable pour cause de tardiveté ;</w:t>
      </w:r>
    </w:p>
    <w:p>
      <w:r>
        <w:t>A/2506/2012 - 5/5 -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