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ATAS/1304/2014 vom 11. Dezember 2014</w:t>
      </w:r>
    </w:p>
    <w:p>
      <w:r>
        <w:t>GE Cour de justice, 2014-12-11, FR</w:t>
      </w:r>
    </w:p>
    <w:p>
      <w:r>
        <w:rPr>
          <w:b/>
        </w:rPr>
        <w:t xml:space="preserve">Quelle: </w:t>
      </w:r>
      <w:r>
        <w:t>https://mcp.opencaselaw.ch/entscheid/ge_gerichte_ATAS_1304_2014</w:t>
      </w:r>
    </w:p>
    <w:p>
      <w:r>
        <w:t>FR: GE_GERICHTE ATAS/1304/2014 du 11 décembre 2014</w:t>
      </w:r>
    </w:p>
    <w:p>
      <w:r>
        <w:t>IT: GE_GERICHTE ATAS/1304/2014 del 11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l’instance.</w:t>
      </w:r>
    </w:p>
    <w:p>
      <w:r>
        <w:rPr>
          <w:b/>
        </w:rPr>
        <w:t>E. 2</w:t>
      </w:r>
    </w:p>
    <w:p>
      <w:r>
        <w:t>Prend acte de ce que la succession de feu le recourant a été clôturée selon les règles de la faillite et que le recours est donc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