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ATAS/1303/2021 vom 16. Dezember 2021</w:t>
      </w:r>
    </w:p>
    <w:p>
      <w:r>
        <w:t>GE Cour de justice, 2021-12-16, FR</w:t>
      </w:r>
    </w:p>
    <w:p>
      <w:r>
        <w:rPr>
          <w:b/>
        </w:rPr>
        <w:t xml:space="preserve">Quelle: </w:t>
      </w:r>
      <w:r>
        <w:t>https://mcp.opencaselaw.ch/entscheid/ge_gerichte_ATAS_1303_2021</w:t>
      </w:r>
    </w:p>
    <w:p>
      <w:r>
        <w:t>FR: GE_GERICHTE ATAS/1303/2021 du 16 décembre 2021</w:t>
      </w:r>
    </w:p>
    <w:p>
      <w:r>
        <w:t>IT: GE_GERICHTE ATAS/1303/2021 del 16 dicembre 2021</w:t>
      </w:r>
    </w:p>
    <w:p>
      <w:pPr>
        <w:pStyle w:val="Heading2"/>
      </w:pPr>
      <w:r>
        <w:t>Erwägungen</w:t>
      </w:r>
    </w:p>
    <w:p>
      <w:r>
        <w:rPr>
          <w:b/>
        </w:rPr>
        <w:t>E. 19</w:t>
      </w:r>
    </w:p>
    <w:p>
      <w:r>
        <w:t>avec l’art. 17b al. 1 en vigueur rétroactivement au 1er septembre 2020, qui sont applicables. 5. En l’espèce, la recourante considère qu’il doit être fait abstraction du retard dans le dépôt de sa demande de préavis en raison de la « confusion » qui régnait en matière de délais, pour déposer une demande d’indemnité RHT. Dans un premier temps, le SECO a mis en place un barème permettant d’établir le nombre de jours de préavis en fonction de la différence entre le moment où la mesure était entrée en vigueur et le moment où l’entreprise avait déposé sa demande de RHT. Toutefois, le principe du délai de préavis a été abrogé - pour la période topique - suite à l’entrée en vigueur de l’art. 17b al. 1 de la loi COVID-19, avec effet rétroactif au 1er septembre 2020. Néanmoins, malgré l’abolition du délai de préavis, le principe selon lequel la demande d’indemnité RHT n’est prise en compte qu’au jour du dépôt de cette dernière a été confirmé par la chambre de céans dans son arrêt de principe du 25 juin 2020 (ATAS/510/2020). On ne discerne pas, dans l’argumentation de la recourante, d’éventuels justes motifs l’ayant empêché de déposer sa demande de préavis dès le 3 novembre 2020, jour de fermeture de son commerce, étant précisé que l’interdiction d’ouvrir le commerce à la clientèle ne l’empêchait pas d’avoir accès à son outil informatique. Compte tenu de ces éléments, la demande d’indemnité RHT déposée par la recourante en date du 19 novembre 2020 ne peut être prise en compte qu’à partir du jour du dépôt, soit le 19 novembre 2020 en lieu et place du 29 novembre 2020 comme cela figure dans la décision querellée, mais sans effet rétroactif au 3 novembre 2020. 6. En conséquence, le recours sera partiellement admis, la décision querellée annulée, et il sera dit que la recourante a droit à l’indemnité RHT du 19 novembre 2020 au 27 février 2021, sous réserve de l’examen par la caisse de chômage des conditions de l’art. 39 LACI. 7. La recourante, qui obtient partiellement gain de cause mais qui n'est pas représentée en justice et n'a pas allégué ou démontré avoir déployé des efforts dépassant la mesure de ce que tout un chacun consacre à la gestion courante de ses affaires, n'a pas droit à des dépens. 8. Pour le surplus, la procédure est gratuite (art. 61 let. a LPGA, dans sa version – applicable en l’occurrence – en vigueur jusqu’au 31 décembre 2020 en lien avec l’art. 1 al. 1 LACI).</w:t>
      </w:r>
    </w:p>
    <w:p>
      <w:r>
        <w:t>A/36/2021 - 7/7 -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