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ATAS/1301/2008 vom 10. November 2008</w:t>
      </w:r>
    </w:p>
    <w:p>
      <w:r>
        <w:t>GE Cour de justice, 2008-11-10, FR</w:t>
      </w:r>
    </w:p>
    <w:p>
      <w:r>
        <w:rPr>
          <w:b/>
        </w:rPr>
        <w:t xml:space="preserve">Quelle: </w:t>
      </w:r>
      <w:r>
        <w:t>https://mcp.opencaselaw.ch/entscheid/ge_gerichte_ATAS_1301_2008</w:t>
      </w:r>
    </w:p>
    <w:p>
      <w:r>
        <w:t>FR: GE_GERICHTE ATAS/1301/2008 du 10 novembre 2008</w:t>
      </w:r>
    </w:p>
    <w:p>
      <w:r>
        <w:t>IT: GE_GERICHTE ATAS/1301/2008 del 10 novembre 2008</w:t>
      </w:r>
    </w:p>
    <w:p>
      <w:pPr>
        <w:pStyle w:val="Heading2"/>
      </w:pPr>
      <w:r>
        <w:t>Erwägungen</w:t>
      </w:r>
    </w:p>
    <w:p>
      <w:r>
        <w:rPr>
          <w:b/>
        </w:rPr>
        <w:t>E. 1</w:t>
      </w:r>
    </w:p>
    <w:p>
      <w:r>
        <w:t>let. g du projet de loi PL 8636, devenu l’art. 56V al. 1 let. c LOJ).</w:t>
      </w:r>
    </w:p>
    <w:p>
      <w:r>
        <w:t>A/1182/2008 - 4/7 - Le Tribunal cantonal des assurances sociales est ainsi désormais saisi de l’ensemble du contentieux en matière d’assurances complémentaires privées, tant dans le domaine de l’assurance-maladie que dans celui de l’assurance-accidents (voir à cet égard, l'arrêt du Tribunal des conflits du 13 juin 2006, confirmé par l'arrêt du Tribunal fédéral du 8 février 2007 - 5P 359/2006). b) L’assuré doit saisir directement l’autorité judiciaire, par la voie d’une action qui doit être intentée dans les deux ans à dater du fait d’où naît l’obligation qui dérive du contrat d’assurance (art. 46 al. 1, 1ère phrase LCA). Le juge statue sur les contestations de droit privé qui s'élèvent entre les entreprises d'assurance ou entre celles-ci et les assurés (art. 85 al. 1 de la loi fédérale sur la surveillance des institutions d’assurance privées du 17 décembre 2004 - LSA). Le juge établit d’office les faits et apprécie librement les épreuves (art. 85 al. 2 LSA). Les parties ne supportent pas de frais de procédure mais le juge peut mettre à la charge de la partie téméraire tout ou partie de ces frais (art. 85 al. 3 LSA). c) Les autorités judiciaires n'entrent en matière que sur les demandes qui sont fondées sur un intérêt suffisant et, en principe, actuel. S'agissant de prétentions découlant du droit fédéral, seule importe la question de savoir s'il y a un intérêt suffisant à obtenir une décision judiciaire (ATF 122 III 279 consid. 3a p. 282 et les références citées). Selon la jurisprudence, l'action en constatation de droit est recevable si le demandeur a un intérêt digne de protection à la constatation immédiate du droit litigieux. Il doit s'agir d'un intérêt majeur, de fait ou de droit. En règle générale, cet intérêt fait défaut lorsque le demandeur peut immédiatement exiger une prestation exécutoire en sus de la simple constatation.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p. 282; 120 II 20 consid. 3 p. 22; 114 II 253 consid. 2a p. 255; 110 II 352 consid. 2 p. 357; ATFA du 26 février 2003, cause 5C.246/2002).</w:t>
      </w:r>
    </w:p>
    <w:p>
      <w:r>
        <w:rPr>
          <w:b/>
        </w:rPr>
        <w:t>E. 2</w:t>
      </w:r>
    </w:p>
    <w:p>
      <w:r>
        <w:t>En l'espèce, la demanderesse entend faire constater par le Tribunal de céans que le remboursement du montant de 6'562 fr, 50 que la défenderesse lui a réclamé par courrier du 20 mai 2008 est injustifié. Il y a lieu d'admettre qu'elle présente un intérêt digne de protection à ce qu'il soit constaté immédiatement si elle est débitrice ou non du montant précité envers la défenderesse. Partant, la demande est recevable.</w:t>
      </w:r>
    </w:p>
    <w:p>
      <w:r>
        <w:t>A/1182/2008 - 5/7 -</w:t>
      </w:r>
    </w:p>
    <w:p>
      <w:r>
        <w:rPr>
          <w:b/>
        </w:rPr>
        <w:t>E. 3</w:t>
      </w:r>
    </w:p>
    <w:p>
      <w:r>
        <w:t>L'objet du litige consiste à déterminer si la demanderesse est débitrice du montant de 6'562 fr. 50 réclamé par la défenderesse au titre de demande de restitution pour la période du 1er mars 2003 au 4 avril 2004.</w:t>
      </w:r>
    </w:p>
    <w:p>
      <w:r>
        <w:rPr>
          <w:b/>
        </w:rPr>
        <w:t>E. 4</w:t>
      </w:r>
    </w:p>
    <w:p>
      <w:r>
        <w:t>a) Le fait que l'assuré dispose, à côté du droit à des indemnités journalières et en raison du même événement dommageable, de prétentions contre un autre assureur, privé ou social, ou contre un tiers responsable, soulève la question du cumul de prétentions, pouvant conduire à une surindemnisation.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(arrêt non publié 4C.83/1998 du 11 juin 1998, consid. 3d; ATF 119 II 361 consid. 4). 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l'art. 96 LCA, les droits que l'ayant droit aurait contre des tiers en raison du sinistre ne passent pas à l'assureur. Les prestations versées par un assureur social ne peuvent pas être imputées sur les allocations journalières dues par l'assureur privé, à moins, évidemment, que les conditions générales d'assurance ne prévoient exceptionnellement une telle imputation (ATF 133 III 527, 531 ss.). b) En l'espèce, l'art. 24 des conditions générales d'assurance régissant l'assurance collective d'indemnité journalière selon la LCA (édition 1998) de la SWICA prévoit que "si l'assuré perçoit pour la maladie une prestation des assurances sociales ou d'entreprises ou encore de tiers responsables, nous complétons ces prestations à la fin du délai d'attente jusqu'à concurrence de l'indemnité journalière convenue. Les jours pendant lesquels des prestations réduites sont versées en raison d'un droit à des prestations de tiers comptent comme jours entiers pour le calcul de la durée des prestations et du délai d'attente. Ces dispositions sont également valables pour les institutions d'assurance de même nature ayant leur siège dans la principauté du Liechtenstein ou d'autres pays étrangers". Il y a ainsi lieu de constater que le contrat d'assurance d'indemnité journalière applicable en l'espèce prévoit l'imputation des prestations d'un assureur social aux indemnités journalières selon la LCA. La défenderesse est ainsi en droit de limiter ses prestations en raison d'une surindemnisation de la demanderesse.</w:t>
      </w:r>
    </w:p>
    <w:p>
      <w:r>
        <w:rPr>
          <w:b/>
        </w:rPr>
        <w:t>E. 05</w:t>
      </w:r>
    </w:p>
    <w:p>
      <w:r>
        <w:t>+ 520 fr.]). C'est ainsi à tort que la sommation du 14 juillet 2008 se réfère au montant de 7'248 fr. 30 soit 7'218 fr. 30 + 30 fr. de frais puisque la défenderesse a elle-même réduit ce montant par courrier du 20 mai 2008. En revanche, il sera constaté que la demanderesse est bien débitrice d'un montant de 6'562 fr. 50 en faveur de la défenderesse.</w:t>
      </w:r>
    </w:p>
    <w:p>
      <w:r>
        <w:rPr>
          <w:b/>
        </w:rPr>
        <w:t>E. 5</w:t>
      </w:r>
    </w:p>
    <w:p>
      <w:r>
        <w:t>En l'espèce, la défenderesse a expliqué qu'elle avait reçu de la CAP un montant de 520 fr. du 1er mars au 30 avril 2004, qu'elle avait elle-même payé à la demanderesse</w:t>
      </w:r>
    </w:p>
    <w:p>
      <w:r>
        <w:t>A/1182/2008 - 6/7 - des indemnités journalières du 1er mars 2003 au 4 mars 2004 et que, compte tenu d'un calcul de surindemnisation, il résultait un solde en sa faveur de 6'562 fr. 50. Il ressort effectivement des pièces au dossier que la CAP a versé une rente d'invalidité de 638 fr. par mois du 1er mars au 31 août 2003 et de 531 fr. par mois du 1er avril 2004 au 31 décembre 2004, soit un total de 7'082 fr. 50 pour la période du 1er mars 2003 au 4 mars 2004 dont 520 fr. ont été versés directement à la SWICA et 756 fr. compensé au titre d'un arriéré de primes. Par ailleurs, la demanderesse a été mise au bénéfice dès le 1er mars 2003 d'une rente mensuelle d'invalidité de la Caisse suisse de compensation pour elle-même et sa fille MA__________ de 2'226 fr. et d'une rente pour sa fille MB__________ de 636 fr. du 1er mars au 31 août 2003, soit un total du 1er mars au 31 août 2003 de 17'172 fr., du 1er septembre 2003 au 29 février 2004 de 13'356 fr. et du 1er au 4 mars 2004 de 287 fr. 25. Ainsi au total, du 1er mars 2003 au 4 mars 2004 la demanderesse a été mise au bénéfice d'une rente d'invalidité de la Caisse suisse de compensation de 30'815 fr. 25, laquelle a été versée à la SWICA selon l'indication même de celle-ci dans son courrier du 20 mai 2008. Enfin, la demanderesse a bénéficié de 370 jours d'indemnités journalières de la SWICA depuis le 1er mars 2003 jusqu'au 4 mars 2004 pour un montant total de 43'976 fr. 10, correspondant au 90 % de son salaire assuré, montant non contesté par la demanderesse. En conséquence, les prestations dues à la demanderesse se montent à 81'873 fr. 85 dont 30'815 fr. 05 et 520 fr. ont été versés directement à la SWICA par respectivement la Caisse suisse de compensation et la CAP, de sorte que la surindemnisation est bien de 6'562 fr. 50 (81'873 fr. 85 - [43'976 fr. 30 + 30'815 fr.</w:t>
      </w:r>
    </w:p>
    <w:p>
      <w:r>
        <w:rPr>
          <w:b/>
        </w:rPr>
        <w:t>E. 6</w:t>
      </w:r>
    </w:p>
    <w:p>
      <w:r>
        <w:t>En conséquence, la demande sera rejetée et il sera constaté que la demanderesse est débitrice d'un montant de 6'562 fr. 50 en faveur de la défenderesse.</w:t>
      </w:r>
    </w:p>
    <w:p>
      <w:r>
        <w:t>A/1182/2008 - 7/7 -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