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ATAS/12/2020 vom 13. Januar 2019</w:t>
      </w:r>
    </w:p>
    <w:p>
      <w:r>
        <w:t>GE Cour de justice, 2019-01-13, FR</w:t>
      </w:r>
    </w:p>
    <w:p>
      <w:r>
        <w:rPr>
          <w:b/>
        </w:rPr>
        <w:t xml:space="preserve">Quelle: </w:t>
      </w:r>
      <w:r>
        <w:t>https://mcp.opencaselaw.ch/entscheid/ge_gerichte_ATAS_12_2020</w:t>
      </w:r>
    </w:p>
    <w:p>
      <w:r>
        <w:t>FR: GE_GERICHTE ATAS/12/2020 du 13 janvier 2019</w:t>
      </w:r>
    </w:p>
    <w:p>
      <w:r>
        <w:t>IT: GE_GERICHTE ATAS/12/2020 del 13 gennaio 2019</w:t>
      </w:r>
    </w:p>
    <w:p>
      <w:pPr>
        <w:pStyle w:val="Heading2"/>
      </w:pPr>
      <w:r>
        <w:t>Erwägungen</w:t>
      </w:r>
    </w:p>
    <w:p>
      <w:r>
        <w:rPr>
          <w:b/>
        </w:rPr>
        <w:t>E. 1</w:t>
      </w:r>
    </w:p>
    <w:p>
      <w:r>
        <w:t>Conformément à l'art. 7 du Code de procédure civile suisse du 19 décembre 2008 (CPC - RS 272) et à l'art. 134 al. 1 let. c de la loi sur l'organisation judiciaire, du 26 septembre 2010 (LOJ - E 2 05),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 Selon la police d’assurance, le contrat est régi par la LCA. La compétence de la chambre de céans à raison de la matière pour juger du cas d’espèce est ainsi établie.</w:t>
      </w:r>
    </w:p>
    <w:p>
      <w:r>
        <w:rPr>
          <w:b/>
        </w:rPr>
        <w:t>E. 2</w:t>
      </w:r>
    </w:p>
    <w:p>
      <w:r>
        <w:t>L'art. 46a LCA prescrit que le for se définit selon la loi du 24 mars 2000 sur les fors (LFors) qui a été abrogée au 1er janvier 2011 par l’entrée en vigueur du CPC, auquel il convient désormais de se référer. Sauf disposition contraire de la loi, pour les actions dirigées contre une personne physique, le for est celui de son domicile (art. 10 al. 1 let. a/b CPC), étant précisé que l’art. 17 al. 1 CPC consacre la possibilité d’une élection de for écrite. En l’occurrence, l’art. 38 des CGA prévoit que pour toutes les actions au sujet du contrat d’assurance, sont compétents au choix les tribunaux du domicile suisse du preneur d’assurance ou de l’ayant droit. Le défendeur ayant son domicile à Genève, la chambre de céans est compétente à raison du lieu pour connaître de la présente demande.</w:t>
      </w:r>
    </w:p>
    <w:p>
      <w:r>
        <w:rPr>
          <w:b/>
        </w:rPr>
        <w:t>E. 3</w:t>
      </w:r>
    </w:p>
    <w:p>
      <w:r>
        <w:t>Les litiges relatifs aux assurances complémentaires à l'assurance-maladie ne sont pas soumis à la procédure de conciliation préalable de l'art. 197 CPC lorsque les cantons ont prévu une instance cantonale unique selon l'art. 7 CPC (ATF 138 III</w:t>
      </w:r>
    </w:p>
    <w:p>
      <w:r>
        <w:t>A/2638/2019 - 4/6 - 558 consid. 4.5 et 4.6; ATAS/577/2011 du 31 mai 2011), étant précisé que le législateur genevois a fait usage de cette possibilité (art. 134 al. 1 let. c LOJ).</w:t>
      </w:r>
    </w:p>
    <w:p>
      <w:r>
        <w:rPr>
          <w:b/>
        </w:rPr>
        <w:t>E. 4</w:t>
      </w:r>
    </w:p>
    <w:p>
      <w:r>
        <w:t>La procédure simplifiée s'applique aux litiges portant sur des assurances complémentaires à l’assurance-maladie sociale au sens de la LAMal (art. 243 al. 2 let. f CPC) et la chambre de céans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w:t>
      </w:r>
    </w:p>
    <w:p>
      <w:r>
        <w:rPr>
          <w:b/>
        </w:rPr>
        <w:t>E. 5</w:t>
      </w:r>
    </w:p>
    <w:p>
      <w:r>
        <w:t>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sont également applicables dans le domaine du contrat d'assurance (ATF 130 III 321 consid. 3.1). b. En vertu de l'art. 150 al. 1 CPC, seules doivent être prouvées les allégations qui sont expressément contestées. Une telle contestation doit être suffisamment précise pour atteindre son but, c'est-à-dire permettre à la partie adverse de comprendre quels allégués il lui incombe de prouver. Le degré de précision d'une allégation influe sur le degré de motivation que doit revêtir sa contestation. Plus les affirmations d'une partie sont détaillées, plus élevées sont les exigences quant à la précision de leur contestation. Une réfutation en bloc ne suffit pas. Le fardeau de la contestation ne saurait toutefois entraîner un renversement du fardeau de la preuve (ATF 141 III 433 consid. 2.6 et les références; arrêt précité 4A_318/2016 consid. 3.1).</w:t>
      </w:r>
    </w:p>
    <w:p>
      <w:r>
        <w:t>A/2638/2019 - 5/6 -</w:t>
      </w:r>
    </w:p>
    <w:p>
      <w:r>
        <w:rPr>
          <w:b/>
        </w:rPr>
        <w:t>E. 6</w:t>
      </w:r>
    </w:p>
    <w:p>
      <w:r>
        <w:t>En l’occurrence, il ressort des pièces du dossier et des allégations de la demanderesse, non contestées par le défendeur, que celui-ci a été engagé par l’employeur du 23 juillet au 28 septembre 2018. Selon les art. 9.4 et 9.5 let. c des CGA, s’agissant des personnes assurées qui, à la fin de l’assurance, sont frappées d’une incapacité de travail ou d’une incapacité de gain, le droit aux prestations pour le cas en cours est maintenu dans le cadre des dispositions contractuelles (prestation complémentaire). Le droit à la prestation complémentaire s’éteint lorsque la personne assurée recouvre sa pleine capacité de travail (art. 9.4). La prestation complémentaire selon le ch. 9.4 n’est pas applicable s’il s’agissait d’un contrat de travail de durée limitée (art.9.5 let. c). Le défendeur étant au bénéfice d’un contrat de durée déterminée, il n’a pas droit aux prestations de la demanderesse au-delà du 28 septembre 2018, de sorte que le remboursement de l’indemnité de CHF 4'885.20 pour la période débutant le 29 septembre 2018 requis par la demanderesse est justifié.</w:t>
      </w:r>
    </w:p>
    <w:p>
      <w:r>
        <w:rPr>
          <w:b/>
        </w:rPr>
        <w:t>E. 7</w:t>
      </w:r>
    </w:p>
    <w:p>
      <w:r>
        <w:t>Partant, la demande sera admise et le défendeur condamné à payer à la demanderesse CHF 4'885.20, avec intérêt à 5 % l’an dès le 1er juillet 2019 (art. 41 LCA, art. 102 et 104 al. 1 du code des obligations du 30 mars 1911, RS 220 - CO).</w:t>
      </w:r>
    </w:p>
    <w:p>
      <w:r>
        <w:rPr>
          <w:b/>
        </w:rPr>
        <w:t>E. 8</w:t>
      </w:r>
    </w:p>
    <w:p>
      <w:r>
        <w:t>La demanderesse, qui n’est pas représentée par un conseil, n’a pas droit à des dépens (art. 106 al. 1 CPC; art. 20 à 26 de la loi d'application du code civil suisse et d’autres lois fédérales en matière civile du 11 octobre 2012 [LaCC - E 1 05]; art. 84 et 85 du RTFMC). Pour le surplus, la procédure est gratuite (art. 114 let. e CPC).</w:t>
      </w:r>
    </w:p>
    <w:p>
      <w:r>
        <w:t>A/2638/2019 - 6/6 -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