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ATAS/129/2014 vom 29. Januar 2014</w:t>
      </w:r>
    </w:p>
    <w:p>
      <w:r>
        <w:t>GE Cour de justice, 2014-01-29, FR</w:t>
      </w:r>
    </w:p>
    <w:p>
      <w:r>
        <w:rPr>
          <w:b/>
        </w:rPr>
        <w:t xml:space="preserve">Quelle: </w:t>
      </w:r>
      <w:r>
        <w:t>https://mcp.opencaselaw.ch/entscheid/ge_gerichte_ATAS_129_2014</w:t>
      </w:r>
    </w:p>
    <w:p>
      <w:r>
        <w:t>FR: GE_GERICHTE ATAS/129/2014 du 29 janvier 2014</w:t>
      </w:r>
    </w:p>
    <w:p>
      <w:r>
        <w:t>IT: GE_GERICHTE ATAS/129/2014 del 29 gennaio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1.2</w:t>
      </w:r>
    </w:p>
    <w:p>
      <w:r>
        <w:t>; ATF 109 V 119),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Le point de savoir si un changement notable des circonstances s’est produit doit être tranché en comparant les faits tels qu’ils se présentaient au moment de la dernière décision entrée en force et les circonstances qui régnaient à l’époque.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A/1906/2013 - 8/13 -</w:t>
      </w:r>
    </w:p>
    <w:p>
      <w:r>
        <w:rPr>
          <w:b/>
        </w:rPr>
        <w:t>E. 2</w:t>
      </w:r>
    </w:p>
    <w:p>
      <w:r>
        <w:t>Interjeté dans les formes et délai prévus par la loi, le présent recours est recevable (art. 56 à 61 LPGA).</w:t>
      </w:r>
    </w:p>
    <w:p>
      <w:r>
        <w:rPr>
          <w:b/>
        </w:rPr>
        <w:t>E. 3</w:t>
      </w:r>
    </w:p>
    <w:p>
      <w:r>
        <w:t>Le litige porte sur la question de savoir si l’état de santé du recourant s’est aggravé depuis la décision sur opposition du 17 août 2006, au point de lui ouvrir le droit aux prestations de l’assurance-invalidité.</w:t>
      </w:r>
    </w:p>
    <w:p>
      <w:r>
        <w:t>A/1906/2013 - 7/13 -</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consid.</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6</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A/1906/2013 - 9/13 -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A/1906/2013 - 10/13 -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8</w:t>
      </w:r>
    </w:p>
    <w:p>
      <w:r>
        <w:t>a. En l’espèce, les parties s’accordent sur le fait que le recourant présente, depuis le mois de novembre 2011, une capacité de travail nulle dans son activité antérieure de maçon ou de jardinier. En revanche, l’OAI estime que sa capacité de travail est entière depuis novembre 2011 dans une activité adaptée à ses limitations fonctionnelles, en se fondant sur les différents rapports des médecins ayant examiné le recourant, ce que celui-ci conteste. b. La Cour de céans constate à titre préalable que le recourant a subi plusieurs accidents depuis l’année 2002 et notamment, après la décision sur opposition du 17 août 2006, deux nouveaux accidents en date des 29 janvier 2009 et 15 novembre 2011. Il résulte des documents au dossier antérieurs à l’accident du 15 novembre 2011 que le recourant était en mesure de travailler dès juillet 2004 à plein temps dans une activité respectant ses limitations fonctionnelles, lesquelles concernaient essentiellement la montée et la descente d’escaliers, la position accroupie et les ports de charges. Cette capacité de travail a été confirmée lors d’un stage d’observation professionnelle en avril 2009, lequel a également permis de mettre en exergue que les activités en position prolongée et demandant de la finesse n’étaient pas exigibles. c. Lors du dernier accident du recourant intervenu en date du 15 novembre 2011, celui-ci a subi une fracture intra-articulaire peu déplacée styloïde radiale droite et une fracture de la rotule droite. En ce qui concerne l’atteinte au genou, le Dr B__________ a constaté, le 22 décembre 2011, une bonne évolution du genou, qui permettait de commencer la rééducation. Une incapacité de travail de huit à douze semaines devait être prévue dès l’accident du 15 novembre 2011, soit jusqu’au 8 mars 2012 au plus tard. Pour ce qui est des conséquences des atteintes du recourant à sa main droite, le Dr H__________ a conclu en mai 2012, que la capacité de travail de celui-ci était de 100% dans une activité sans port de charges lourdes et sans gros effort, alors que dans une activité manuelle intense, une incapacité de travail de 40% au maximum pouvait persister. Le fait qu’il a indiqué quelques mois plus tard, soit en novembre 2012, qu’une expertise était nécessaire pour déterminer la capacité de travail dans</w:t>
      </w:r>
    </w:p>
    <w:p>
      <w:r>
        <w:t>A/1906/2013 - 11/13 - une activité adaptée, sans plus amples explications, n’est pas suffisant pour ne pas retenir ses précédentes conclusions, ce d’autant moins qu’il a déclaré que l’état de santé du recourant était resté stationnaire depuis le mois de mai 2012 et qu’une capacité de travail existait. Eu égard aux rapports de ces deux spécialistes, le médecin du SMR a estimé, en janvier 2013, que le recourant présentait, dès novembre 2011, une entière capacité de travail dans une activité adaptée à ses limitations fonctionnelles, lesquelles concernaient le port de charges lourdes, les activités avec un effort important, la marche prolongée, la station debout et le travail en porte-à faux du tronc. Quant au Dr G__________, il a fait l’énumération, en mai 2012, de tous les accidents subis par le recourant depuis 2002 et semble retenir que seules des douleurs résiduelles du genou et du poignet droits persistaient suite à l’accident de novembre 2011. De plus, il a estimé que le recourant ne pouvait plus poursuivre ses activités de force, ce qui confirme les conclusions du Dr I__________, étant précisé que le Dr G__________ ne s’est pas prononcé sur la capacité de travail du recourant dans une activité adaptée à ses limitations fonctionnelles. En novembre 2012, il a précisé que l’état de santé était stationnaire depuis mai 2012, tout comme le Dr H__________. d. Compte tenu des divers rapports et avis précités, la Cour de céans est d’avis que les rapports des deux spécialistes – B__________ et H__________ – permettent d’établir, au degré de la vraisemblance prépondérante prévue par la jurisprudence, que le recourant présente une entière capacité de travail dans une activité lucrative adaptée à ses limitations fonctionnelles au plus tard dès le mois de mai 2012 (rapport du Dr H__________). Les rapports du Dr G__________, qui est le médecin traitant du recourant, ne permettent pas de remettre en cause les conclusions des deux spécialistes, en raison du peu de clarté de ses rapports et dans la mesure notamment où il ne se prononce pas spécifiquement sur la capacité de travail dans une activité adaptée. Qui plus est, les limitations fonctionnelles relevées par les médecins sont du même ordre que celles déterminées précédemment par le rapport d’observation professionnelle de mai 2009, ce qui permet également de confirmer la pleine capacité de travail du recourant dans une activité adaptée. Enfin, au vu des rapports de spécialistes au dossier, il n’y a pas lieu de procéder à une instruction complémentaire telle que requise par le recourant, soit notamment la mise en œuvre d’une expertise. Il résulte de ce qui précède que l’état de santé du recourant s’est certes aggravé suite aux nouveaux accidents, mais que cette aggravation n’a pas d’incidence sur la capacité de travail dans une activité adaptée, cette capacité restant toujours à 100%. Partant, il n’y a pas lieu de réviser la dernière décision du 17 août 2006, dès lors que déjà à l’époque le recourant n’avait une capacité de travail que dans une</w:t>
      </w:r>
    </w:p>
    <w:p>
      <w:r>
        <w:t>A/1906/2013 - 12/13 - activité adaptée et que ses limitations fonctionnelles étaient pour l’essentiel identiques à celles d’aujourd’hui.</w:t>
      </w:r>
    </w:p>
    <w:p>
      <w:r>
        <w:rPr>
          <w:b/>
        </w:rPr>
        <w:t>E. 9</w:t>
      </w:r>
    </w:p>
    <w:p>
      <w:r>
        <w:t>Cela étant, le recours sera rejeté.</w:t>
      </w:r>
    </w:p>
    <w:p>
      <w:r>
        <w:rPr>
          <w:b/>
        </w:rPr>
        <w:t>E. 10</w:t>
      </w:r>
    </w:p>
    <w:p>
      <w:r>
        <w:t>Le recourant étant à la charge de l’Hospice général, la Chambre de céans renonce à percevoir un émolument de justice.</w:t>
      </w:r>
    </w:p>
    <w:p>
      <w:r>
        <w:t>A/1906/2013 - 13/13 -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