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ATAS/129/2011 vom 8. Februar 2011</w:t>
      </w:r>
    </w:p>
    <w:p>
      <w:r>
        <w:t>GE Cour de justice, 2011-02-08, FR</w:t>
      </w:r>
    </w:p>
    <w:p>
      <w:r>
        <w:rPr>
          <w:b/>
        </w:rPr>
        <w:t xml:space="preserve">Quelle: </w:t>
      </w:r>
      <w:r>
        <w:t>https://mcp.opencaselaw.ch/entscheid/ge_gerichte_ATAS_129_2011</w:t>
      </w:r>
    </w:p>
    <w:p>
      <w:r>
        <w:t>FR: GE_GERICHTE ATAS/129/2011 du 8 février 2011</w:t>
      </w:r>
    </w:p>
    <w:p>
      <w:r>
        <w:t>IT: GE_GERICHTE ATAS/129/2011 del 8 febbraio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 teneur de l'art. 1 al. 1 LAA, les dispositions de la loi fédérale du 6 octobre 2000 sur la partie générale du droit des assurances sociales (LPGA) s'appliquent à l'assurance-accidents, à moins que la présente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les forme et délai légaux, le présent recours est recevable (art. 106 LAA, 56 et 60 LPGA).</w:t>
      </w:r>
    </w:p>
    <w:p>
      <w:r>
        <w:rPr>
          <w:b/>
        </w:rPr>
        <w:t>E. 4</w:t>
      </w:r>
    </w:p>
    <w:p>
      <w:r>
        <w:t>Le litige porte sur le droit de l'assuré à une indemnité pour atteinte à l'intégrité corporelle (IPAI) et une rente d'invalidité LAA, singulièrement si cet aspect a déjà été tranché définitivement.</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w:t>
      </w:r>
    </w:p>
    <w:p>
      <w:r>
        <w:t>A/3434/2010 - 9/16 -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b)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ATF non publié du 22 octobre 2008, 8C_628/2007), au point que le dommage puisse encore équitablement être mis à la charge de l'assurance-accidents eu égard aux objectifs poursuivis par la LAA (cf. ATF 123 V 98 consid. 3 et les références). c)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 droit à une indemnité correspondante de l'assurance-invalidité (al. 3).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A teneur de l'art. 18 al. 1 LAA, l’assuré invalide (art. 8 LPGA) à 10 % au moins par suite d’un accident a droit à une rente d’invalidité.</w:t>
      </w:r>
    </w:p>
    <w:p>
      <w:r>
        <w:rPr>
          <w:b/>
        </w:rPr>
        <w:t>E. 6</w:t>
      </w:r>
    </w:p>
    <w:p>
      <w:r>
        <w:t>a) Si, par suite d'un accident, l'assuré souffre d'une atteinte importante et durable à son intégrité physique, mentale ou psychique, il a droit à une indemnité équitable pour atteinte à l'intégrité (art. 24 al. 1 LAA). L'indemnité pour atteinte à l'intégrité est allouée sous forme de prestation en capital. Elle ne doit pas excéder le montant</w:t>
      </w:r>
    </w:p>
    <w:p>
      <w:r>
        <w:t>A/3434/2010 - 10/16 -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1ère phrase). b) La gravité de l'atteinte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 c)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 a/cc et 116 V 157consid. 3a).</w:t>
      </w:r>
    </w:p>
    <w:p>
      <w:r>
        <w:t>A/3434/2010 - 11/16 - Selon la table 12 concernant la perturbation de l'ouïe, il faut que la diminution de celle-ci soit de 50% d'un côté ou de 35% des deux cotés pour ouvrir le droit à une IPAI de 5%. Selon la table 13 relative à l'atteinte à la santé en cas de tinnitus (acouphènes), c'est sur la base des examens effectués, qui démontrent dans la plupart des cas une perte auditive, que le médecin peut confirmer ou non que les affirmations du patient sont plausibles et que les acouphènes sont à attribuer avec une forte probabilité à l'accident incriminé. Le degré de gravité doit s'appuyer sur l'anamnèse. Le tinnitus (acouphène) peut être léger, important ou très important. Il doit être important pour ouvrir le droit à une IPAI de 5%, ce qui est le cas lorsqu'il : est le plus souvent continu, uni ou bilatéral; d'intensité subjective marquée, même s'il est masqué par les bruits de la vie quotidienne; gêne le repos du patient et l'empêche de dormir; perturbe à un degré moyen et plus marqué par moments certaines activités calmes (lecture, écriture, écoute) et perturbe les activités nécessitant du calme. S'il est très important, il donne droit à une IPAI de 10%. Si une sensibilité anormale aux bruits vient s'y ajouter, ceci est à considérer comme un facteur aggravant. d) Lorsqu'un tinnitus imputable à un accident est à l'origine d'une décompensation psychique, le Tribunal fédéral a jugé que la jurisprudence relative au caractère adéquat du rapport de causalité entre des troubles psychiques et un accident (ATF 115 V 133) n'était pas applicable et qu'il fallait, dans ces cas, s'en tenir à la formule habituelle relative au cours ordinaire des choses et à l'expérience générale de la vie. En cas de tinnitus très important (ou très grave), voire à la limite du cas très grave, l'existence d'un rapport de causalité adéquat entre l'accident et la décompensation psychique doit en principe être admise (ATF non publié U 71/02 du 27 mars 2003; RAMA 2004 no U 505 p. 246). La gravité d'un tinnitus doit d'abord être évaluée selon les méthodes et critères d'évaluation indiqués à la table 13. Si le diagnostic d'un tinnitus «très important» (ou très grave) peut être posé, encore faut-il qu'il soit également établi par une expertise psychiatrique que la décompensation psychique constatée est la conséquence directe de ce tinnitus très important (ou très grave). Dans cette éventualité seulement, l'événement accidentel assuré est considéré comme la cause adéquate de cette décompensation psychique. Lorsque le tinnitus n'en constitue qu'une cause secondaire, c'est la jurisprudence en matière de troubles psychiques consécutifs à un accident qui est applicable pour l'examen de la causalité adéquate. Si, l'expert arrive à la conclusion que le tinnitus dont souffre l'assuré se présente sous la forme d'un tinnitus «léger» ou «important» selon la table 13 de la CNA, il y aura également lieu d'appliquer la jurisprudence tirée de l'ATF 115 V 133 pour déterminer l'étendue de la prise en charge par l'assureur-accidents des troubles psychiques qui en résultent. En effet, le développement de troubles psychiques à la</w:t>
      </w:r>
    </w:p>
    <w:p>
      <w:r>
        <w:t>A/3434/2010 - 12/16 - suite d'un tinnitus léger ou important ne correspond pas au cours ordinaire des choses et de l'expérience de la vie, et que d'autres facteurs ont concouru à entraîner ou à favoriser le résultat tel qu'il s'est produit. Dans ces deux cas, le tinnitus apparaît comme une cause secondaire de l'affection psychique, ce qui justifie l'application des critères jurisprudentiels en matière de troubles psychiques consécutifs à un accident (ATF non publié 8C_451/2009 du 18 août 2010, consid. 5.5).</w:t>
      </w:r>
    </w:p>
    <w:p>
      <w:r>
        <w:rPr>
          <w:b/>
        </w:rPr>
        <w:t>E. 7</w:t>
      </w:r>
    </w:p>
    <w:p>
      <w:r>
        <w:t>a) Il y a autorité de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 ne bis in idem »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 jurisprudence considère que l’autorité de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ATFA non publié du 6 décembre 2006, I 857/05, consid. 2.1). b)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w:t>
      </w:r>
    </w:p>
    <w:p>
      <w:r>
        <w:t>A/3434/2010 - 13/16 - Cette réglementation l’emporte sur celle de la révision au sens de l’art. 17 LPGA (ATF 130 V 343 consid. 3.5). Ainsi, l’administration peut aussi modifier une décision de rente lorsque les conditions de la révision selon l’art. 17 LPGA ne sont pas remplies (ATFA non publié du 27 mars 2006, I 302/04, consid. 4.5). Si le juge est le premier à constater que la décision initiale était manifestement erronée, il peut confirmer, en invoquant ce motif, la décision prise par l’administration (ATF 125 V 368 consid. 2 et les arrêts cités ; voir aussi ATF 112 V 371 consid. 2c).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du 17 août 2005, I 545/02, consid. 1.2).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w:t>
      </w:r>
    </w:p>
    <w:p>
      <w:r>
        <w:t>Dans le cas d'espèce, le grief de l'assuré concernant la rente LAA est manifestement infondé. A teneur de la loi, les prestations pécuniaires dues en cas d'incapacité de travail sont les indemnités journalières et la rente d'invalidité. La décision initiale de la SUVA du 11 juin 2004 refusant de prendre en charge le cas à défaut de lien de causalité entre l'accident et l'incapacité de travail et, en conséquence, de verser toute les prestations d'assurance découlant d'une incapacité de travail a été définitivement confirmée par arrêt du Tribunal fédéral du 1er février 2008. Cet arrêt concerne ainsi indubitablement le droit aux indemnités journalières et à la rente d'invalidité de la SUVA. Cela découle de la simple lecture de la loi. Cela est aussi confirmé par le texte de la décision sur opposition du 18 mars 2005 qui précise que tout droit à des prestations d'assurance pour une incapacité de travail est refusé et par la teneur de l'arrêt du Tribunal fédéral du 8 février 2007 qui rappelle que le litige porte uniquement sur le refus de la SUVA d'allouer des prestations en espèce (indemnité journalière et éventuellement rente), à l'exclusion de l'IPAI. L'argument du recourant concernant le terme "éventuellement" utilisé dans l'arrêt précité pour la rente est insoutenable: ce terme est indiqué du fait que l'octroi d'une rente n'a pas été examiné dans le détail au vu de l'absence de lien de causalité. L'argument est</w:t>
      </w:r>
    </w:p>
    <w:p>
      <w:r>
        <w:t>A/3434/2010 - 14/16 - d'autant plus étonnant que le conseil du recourant a expressément fait grief à la juridiction cantonale, dans son recours de droit public au Tribunal fédéral, d'avoir éludé la question de la rente LAA et de l'IPAI. Or, le Tribunal fédéral confirme que le refus de prestations dont il est saisi concerne les indemnités journalières et la rente, à l'exclusion de l'IPAI. Ainsi, et en application de l'article 53 al. 2 LPGA, la SUVA ne peut pas reconsidérer la décision de refus d'indemnité journalière et de rente, dès lors qu'une autorité judiciaire s'est prononcée sur le fond de cet objet du litige. Par ailleurs, le recourant ne fait valoir aucun fait ou moyen de preuve nouveau et important qui ne pouvaient être produits auparavant et qui remettent en cause l'appréciation faite s'agissant du lien de causalité entre l'accident et l'incapacité de travail, au sens de l'art. 53 al. 1 LPGA. La décision de la SUVA est donc fondée sur ce point. Au demeurant, la solution s'impose au regard de la systématique de la loi: l'octroi d'indemnités journalières et de rente LAA est conditionné à l'existence d'un lien de causalité entre l'accident et l'incapacité de travail. Ainsi, à défaut d'incapacité de travail due à l'accident, l'assuré ne peut pas être reconnu invalide au sens de la LAA.</w:t>
      </w:r>
    </w:p>
    <w:p>
      <w:r>
        <w:rPr>
          <w:b/>
        </w:rPr>
        <w:t>E. 9</w:t>
      </w:r>
    </w:p>
    <w:p>
      <w:r>
        <w:t>Le second grief de l'assuré concerne le refus de la SUVA de lui allouer une indemnité pour atteinte à l'intégrité corporelle. Tous les documents médicaux produits concluent à une audition conservée, sous réserve d'une légère baisse du côté gauche, mais à 8000 Db seulement. Le certificat médical du 28 juin 2010 de l'hôpital de Fribourg n'y change rien, le résultat du test étant superposable à celui pratiqué en 2006, qui concluait que l'audition était revenue à la normale. Ainsi, l'assuré ne souffre d'aucune atteinte à son ouïe, qui est normale selon les constatations médicales, sans qu'il soit besoin de préciser que les minima de diminution d'audition de la table 12 ne sont de loin pas atteints. Ainsi, à défaut d'atteinte importante et durable de l'audition, l'octroi d'une IPAI à ce titre est exclue. S'agissant des acouphènes, il faut relever, en premier lieu, qu'ils ne sont pas objectivés par une perte auditive ou une atteinte médicalement attestée. A l'opposé, le Dr L__________ a même précisé qu'il était difficile de parler de séquelles chez ce patient et que l'importance des plaintes était difficile à comprendre par rapport aux résultats des examens. Du point de vue de la perception de l'assuré, ce dernier a toujours affirmé que les acouphènes n'étaient pas la cause principale de son inconfort, qui était dû à son hypersensibilité aux bruits même de faible intensité. Aucun élément anamnestique ressortant des divers rapports médicaux ne permet de retenir que les acouphènes atteignent le degré de gravité suffisant, selon les divers critères établis par la table 13, pour ouvrir le droit à une IPAI. Au contraire, l'assuré ne se plaint pas d'être gêné par les acouphènes dans son sommeil ou lors d'une</w:t>
      </w:r>
    </w:p>
    <w:p>
      <w:r>
        <w:t>A/3434/2010 - 15/16 - activité silencieuse, mais de ne pas supporter divers bruits. C'est donc sur la base de l'ensemble des éléments médicaux du dossier que le Dr M__________ a estimé que l'assuré souffrait tout au plus d'un acouphène subjectif moyennement grave, insuffisant pour ouvrir le droit à une IPAI. Les effets particuliers ressentis subjectivement par l'assuré comme étant invalidants, outre qu'ils ne sont pas objectivés par une atteinte physique, ne sauraient être pris en considération pour l'octroi d'une IPAI selon la jurisprudence claire et constante du Tribunal fédéral, selon laquelle les facteurs subjectifs ne sont pas déterminants. A cet égard, l'hypersensibilité ressentie ne peut pas, dans le cas d'espèce, être retenue comme un facteur aggravant, dès lors qu'elle existe même en présence de bruits de faible intensité (ventilateur, ordinateur, gaz sortant du bruleur de la cuisinière), alors que tous les spécialistes s'accordent à dire que seuls une exposition à des bruits forts peut justifier cette hyperacousie et en présence d'un tinnitus décompensé, soit de degré très grave. Pour finir, la précédente procédure a permis d'établir que l'assuré ne souffre d'aucun trouble psychique, de sorte qu'il n'y a pas d'atteinte non plus à cet égard et que l'examen d'un éventuel lien de causalité entre la présence d'acouphènes et une décompensation psychique n'est ainsi pas nécessaire. Il résulte de ce qui précède que l'assuré ne présente pas d'atteinte importante et durable à son intégrité physique ou psychique, de sorte que c'est à juste titre que la SUVA a refusé de lui octroyer une IPAI.</w:t>
      </w:r>
    </w:p>
    <w:p>
      <w:r>
        <w:rPr>
          <w:b/>
        </w:rPr>
        <w:t>E. 10</w:t>
      </w:r>
    </w:p>
    <w:p>
      <w:r>
        <w:t>Mal fondé, le recours et rejeté.</w:t>
      </w:r>
    </w:p>
    <w:p>
      <w:r>
        <w:t>A/3434/2010 - 16/16 -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