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ATAS/1299/2009 vom 27. Oktober 2009</w:t>
      </w:r>
    </w:p>
    <w:p>
      <w:r>
        <w:t>GE Cour de justice, 2009-10-27, FR</w:t>
      </w:r>
    </w:p>
    <w:p>
      <w:r>
        <w:rPr>
          <w:b/>
        </w:rPr>
        <w:t xml:space="preserve">Quelle: </w:t>
      </w:r>
      <w:r>
        <w:t>https://mcp.opencaselaw.ch/entscheid/ge_gerichte_ATAS_1299_2009</w:t>
      </w:r>
    </w:p>
    <w:p>
      <w:r>
        <w:t>FR: GE_GERICHTE ATAS/1299/2009 du 27 octobre 2009</w:t>
      </w:r>
    </w:p>
    <w:p>
      <w:r>
        <w:t>IT: GE_GERICHTE ATAS/1299/2009 del 27 ottobre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Les prestations versées, dont la restitution est réclamée, ont été accordées sur la base de la LCA.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w:t>
      </w:r>
    </w:p>
    <w:p>
      <w:r>
        <w:t>A/2479/2009 - 5/7 - l'indu se fonde en premier lieu sur les dispositions des lois spéciales qui la prévoient et, à défaut, sur les règles générales de l'enrichissement illégitime au sens des art. 62 à 67 CO (ATF 115 V 118 consid. 3b et les références).</w:t>
      </w:r>
    </w:p>
    <w:p>
      <w:r>
        <w:rPr>
          <w:b/>
        </w:rPr>
        <w:t>E. 3</w:t>
      </w:r>
    </w:p>
    <w:p>
      <w:r>
        <w:t>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L'art. 63 CO précise que celui qui a payé volontairement ce qu’il ne devait pas ne peut le répéter s’il ne prouve qu’il a payé en croyant, par erreur, qu’il devait ce qu’il a payé. En l'espèce il est incontestable, et par ailleurs non contesté, que la demanderesse a versé au défendeur des indemnités journalières sans cause, en raison d'une erreur, ceci à partir du 7 octobre 2007 et jusqu'au 31 août 2008, totalisant une somme de 54 667,35 F La question litigieuse est de déterminer s'il y a lieu à restitution. À ce sujet, l'art. 64 CO prévoit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En outre, il n’y a pas lieu à répétition de ce qui a été donné en vue d’atteindre un but illicite ou contraire aux mœurs (art. 66 CO). Enfin, selon l'art. 67 CO, l’action pour cause d’enrichissement illégitime se prescrit par un an à compter du jour où la partie lésée a eu connaissance de son droit de répétition, et, dans tous les cas, par dix ans dès la naissance de ce droit. En l'occurrence, l'action n'est pas prescrite et l'art. 66 CO ne trouve pas application. Reste à déterminer si le défendeur n'était plus enrichi lors de la répétition, au sens de la loi, ce qui revient à vérifier ce que cette notion recouvre. Il est en effet établi, et non contesté, qu'au jour de la demande de répétition le compte courant du défendeur était au débit. Le principe fondamental posé par l'art.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w:t>
      </w:r>
    </w:p>
    <w:p>
      <w:r>
        <w:t>A/2479/2009 - 6/7 -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extra-patrimoniales) (ATF 102 V 91 S. 100). Ainsi, celui qui a reçu un paiement indu n'est plus enrichi, au moment de la répétition, dans la mesure où il a fait entre-temps des dépenses dont il se serait abstenu s'il n'avait pas eu la somme concernée à sa disposition (Petitpierre, op. cit., n. 19 ad art. 64 CO; voir ATF publié 131 III 222)). En l'espèce, il apparaît clairement que le défendeur est tenu à restitution puisqu'il a certes utilisé les sommes reçues, mais pour son entretien personnel et non pour des dépenses dont il se serait abstenu s'il n'avait pas reçu la somme en question. Par conséquent, la demande doit être admise.</w:t>
      </w:r>
    </w:p>
    <w:p>
      <w:r>
        <w:rPr>
          <w:b/>
        </w:rPr>
        <w:t>E. 4</w:t>
      </w:r>
    </w:p>
    <w:p>
      <w:r>
        <w:t>Reste toutefois la question des intérêts moratoires, sollicités par la demanderesse depuis le 12 décembre 2008 à hauteur de 5 %. La restitution pour cause d'enrichissement illégitime englobe non seulement le capital, mais également l'intérêt perçu grâce à ce capital, lequel intérêt doit également être restitué à l'appauvri (ATF 84 II 179 consid. 4); toutefois, ce dernier doit établir que le défendeur a placé le capital et qu'il a effectivement perçu l'intérêt dont le paiement est demandé (Stéphane Spahr, L'intérêt moratoire, conséquence de la demeure, in Revue valaisanne de jurisprudence, 1990, p. 375). L'intérêt à restituer pour cause d'enrichissement illégitime et l'intérêt moratoire ne peuvent être cumulés, car ils ont la même fonction. Aussi, dès l'ouverture de l'action en paiement, cet intérêt-ci remplace-t-il cet intérêt-là (Spahr, op. cit., ibid. et p. 373). Au vu de ce qui précède, et compte tenu de ce qu'il est hautement probable que le défendeur n'a pas placé l'argent reçu mais l'a utilisé sans délai, seul un intérêt moratoire de 5 % depuis le 15 juillet 2009 sera accordé à la demanderesse.</w:t>
      </w:r>
    </w:p>
    <w:p>
      <w:r>
        <w:t>A/2479/2009 - 7/7 -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