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ATAS/1298/2009 vom 26. Februar 2009</w:t>
      </w:r>
    </w:p>
    <w:p>
      <w:r>
        <w:t>GE Cour de justice, 2009-02-26, FR</w:t>
      </w:r>
    </w:p>
    <w:p>
      <w:r>
        <w:rPr>
          <w:b/>
        </w:rPr>
        <w:t xml:space="preserve">Quelle: </w:t>
      </w:r>
      <w:r>
        <w:t>https://mcp.opencaselaw.ch/entscheid/ge_gerichte_ATAS_1298_2009</w:t>
      </w:r>
    </w:p>
    <w:p>
      <w:r>
        <w:t>FR: GE_GERICHTE ATAS/1298/2009 du 26 février 2009</w:t>
      </w:r>
    </w:p>
    <w:p>
      <w:r>
        <w:t>IT: GE_GERICHTE ATAS/1298/2009 del 26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A/1584/2009 6/8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 novembre 1997, d’autre part le 6 juin 2009, date à laquelle le jugement de divorce est devenu exécutoire.</w:t>
      </w:r>
    </w:p>
    <w:p>
      <w:r>
        <w:rPr>
          <w:b/>
        </w:rPr>
        <w:t>E. 5</w:t>
      </w:r>
    </w:p>
    <w:p>
      <w:r>
        <w:t>Selon les documents produits, la prestation acquise pendant le mariage par le demandeur est de 32'315 fr. 20 tandis que celle acquise par la demanderesse est de 46'476 fr. 35, les intérêts ayant déjà été calculés par les institutions de prévoyance défenderesses. Il convient en effet de relever que le versement en espèces durant le mariage de la prestation de sortie en mains du demandeur, avec le consentement écrit de la demanderesse (art. 5 al. 2 LFLP), n'a pas à être pris en compte dans le calcul des prestations de sortie à partager (cf. art. 22 al. 2 in fine LFLP; ATF 129 V 254 consid. 2.2). Ainsi le demandeur doit à son ex-épouse le montant de 16'157 fr. 60 (32'315 fr. 20 : 2) et celle-ci doit à celui-là le montant de 23’238 fr. 20 (46’476 fr. 35 : 2), de sorte que c’est la demanderesse qui doit au demandeur le montant de 7'080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A/1584/2009 7/8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A/1584/2009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