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ATAS/1297/2021 vom 16. Dezember 2021</w:t>
      </w:r>
    </w:p>
    <w:p>
      <w:r>
        <w:t>GE Cour de justice, 2021-12-16, FR</w:t>
      </w:r>
    </w:p>
    <w:p>
      <w:r>
        <w:rPr>
          <w:b/>
        </w:rPr>
        <w:t xml:space="preserve">Quelle: </w:t>
      </w:r>
      <w:r>
        <w:t>https://mcp.opencaselaw.ch/entscheid/ge_gerichte_ATAS_1297_2021</w:t>
      </w:r>
    </w:p>
    <w:p>
      <w:r>
        <w:t>FR: GE_GERICHTE ATAS/1297/2021 du 16 décembre 2021</w:t>
      </w:r>
    </w:p>
    <w:p>
      <w:r>
        <w:t>IT: GE_GERICHTE ATAS/1297/2021 del 16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 erratum de la CdR de l’Ass. féd. du 19 mai 2021, publié le 18 juin 2021 in RO 2021 358).</w:t>
      </w:r>
    </w:p>
    <w:p>
      <w:r>
        <w:t>A/127/2020 - 5/9 -</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 degré d'invalidité de la recourante, singulièrement sur son statut et le choix de la méthode d’évaluation de l’invalidité.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L’assuré a droit à une rente lorsqu’il a présenté une incapacité de travail (art. 6 LPGA) d’au moins 40% en moyenne durant une année sans interruption notable et qu’au terme de cette année, il est invalide (art. 8 LPGA) à 40% au moins (cf. art. 28 al. 1 let. b et c LAI).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w:t>
      </w:r>
    </w:p>
    <w:p>
      <w:r>
        <w:t>A/127/2020 - 6/9 -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considère que la recourante, sans atteinte à santé, aurait continué à travailler à un taux de 28%, ce qu'elle conteste, arguant que si son état le lui avait permis, elle aurait travaillé à plein temps.</w:t>
      </w:r>
    </w:p>
    <w:p>
      <w:r>
        <w:rPr>
          <w:b/>
        </w:rPr>
        <w:t>E. 10.1</w:t>
      </w:r>
    </w:p>
    <w:p>
      <w:r>
        <w:t>L'intimé fonde sa position sur le fait que, depuis qu'elle cotise à l'AVS, l'assurée a toujours travaillé à temps partiel. Il fait remarquer qu'il s'est fondé, pour déterminer son statut, sur l'année 2016, soit celle durant laquelle son revenu a été le plus élevé. La recourante, au bénéfice d'un diplôme d’enseignante obtenu en Iran, dit y avoir travaillé à temps complet comme enseignante à l’école primaire de 1984 à 1995, date où elle a quitté le pays et ce, alors même qu'elle était déjà mère d'enfants nés en 1983, 1985, 1986 et 1988.</w:t>
      </w:r>
    </w:p>
    <w:p>
      <w:r>
        <w:t>A/127/2020 - 7/9 - Peu après son arrivée en Suisse, elle a débuté une formation à l’Université de Fribourg pour obtenir un certificat de langue française, chose faite en 2000, année durant laquelle elle a aussi donné naissance à un cinquième enfant. En 2004, elle a repris une activité lucrative auprès de E______ en qualité d’interprète, médiatrice culturelle et traductrice communautaire en santé sociale. La recourante allègue avoir tenté de suivre des formations afin de trouver un emploi plus stable et à temps complet, ce que rien au dossier ne vient cependant corroborer, si ce n'est la mention, dans l'attestation de l'Hospice général, de son désir de suivre une formation d'aide-soignante. Cependant, il a pu être établi par l'OCE qu'en 2006, et ce, alors que son dernier-né n'était âgé que de 6 ans, l'assurée s'est annoncée comme chercheuse d'emploi à 100%, ce qui vient corroborer les dires selon lesquels elle a tenté de compléter son revenu auprès de E______. Cette activité est exercée sur appel et par conséquent selon un taux très variable, ne suffit pas à assurer ses besoins et ceux de ses enfants, ce que confirme le fait que, depuis 2001, l'assurée émarge à l'aide sociale. La recourante n’a pas varié dans ses déclarations. Depuis toujours, elle a affirmé que, sans atteinte à sa santé, elle aurait travaillé, et si possible à un taux plus élevé. Il s'avère par ailleurs qu'elle a travaillé à plein temps en Iran et ce, alors même qu'elle avait quatre enfants en bas âge. Elle l’a réaffirmé lors de l’enquête ménagère réalisée en 2019 et en a aussi fait part à ses médecins, puisque le Dr B______ a souligné en 2018 que sa patiente déposait une demande dans le but de bénéficier d'une réinsertion professionnelle avant tout. Qui plus est, il est établi que l'assurée s'est annoncée à l'OCE et a donc bel et bien recherché un emploi à plein temps durant un délai-cadre d'indemnisation. Certes, il est vrai, comme le fait remarquer l'intimé, que plusieurs années se sont écoulées depuis lors et que l'attestation d'incapacité de travail n'a été établie qu'en 2017, années durant lesquelles l'assurée a continué à travailler à temps partiel. Il n'en demeure pas moins qu'il est établi qu'elle a recherché un emploi à temps plein alors que son dernier-né était encore jeune, d'une part, que son revenu auprès de E______ ne suffit de loin pas à subvenir à ses besoins, d'autre part. Entre 2008 (fin du délai-cadre de chômage) et 2017, l'enfant a grandi, de sorte que les besoins financiers de la famille sont allés en augmentant. Dans ces conditions, l'allégation selon laquelle l'assurée aurait travaillé à temps plein si son état de santé le lui avait permis apparaît vraisemblable, d'autant plus qu'elle est désormais libérée de toute obligation parentale.</w:t>
      </w:r>
    </w:p>
    <w:p>
      <w:r>
        <w:rPr>
          <w:b/>
        </w:rPr>
        <w:t>E. 10.2</w:t>
      </w:r>
    </w:p>
    <w:p>
      <w:r>
        <w:t>Au vu de l’ensemble de ces circonstances, il paraît vraisemblable qu’en bonne santé, la recourante aurait – ainsi qu’elle l’allègue – préféré travailler à plein temps afin de couvrir ses dépenses et vivre plus décemment.</w:t>
      </w:r>
    </w:p>
    <w:p>
      <w:r>
        <w:rPr>
          <w:b/>
        </w:rPr>
        <w:t>E. 10.3</w:t>
      </w:r>
    </w:p>
    <w:p>
      <w:r>
        <w:t>Dans la mesure où l'incapacité totale de travailler de la recourante est admise et non contestée, c'est donc le droit à une rente entière d'invalidité qui aurait dû lui</w:t>
      </w:r>
    </w:p>
    <w:p>
      <w:r>
        <w:t>A/127/2020 - 8/9 - être reconnu, le degré d'invalidité se confondant ici avec celui de la capacité de travail.</w:t>
      </w:r>
    </w:p>
    <w:p>
      <w:r>
        <w:rPr>
          <w:b/>
        </w:rPr>
        <w:t>E. 10.4</w:t>
      </w:r>
    </w:p>
    <w:p>
      <w:r>
        <w:t>Le recours est donc admis.</w:t>
      </w:r>
    </w:p>
    <w:p>
      <w:r>
        <w:t>A/127/2020 - 9/9 -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