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ATAS/1296/2014 vom 15. Dezember 2014</w:t>
      </w:r>
    </w:p>
    <w:p>
      <w:r>
        <w:t>GE Cour de justice, 2014-12-15, FR</w:t>
      </w:r>
    </w:p>
    <w:p>
      <w:r>
        <w:rPr>
          <w:b/>
        </w:rPr>
        <w:t xml:space="preserve">Quelle: </w:t>
      </w:r>
      <w:r>
        <w:t>https://mcp.opencaselaw.ch/entscheid/ge_gerichte_ATAS_1296_2014</w:t>
      </w:r>
    </w:p>
    <w:p>
      <w:r>
        <w:t>FR: GE_GERICHTE ATAS/1296/2014 du 15 décembre 2014</w:t>
      </w:r>
    </w:p>
    <w:p>
      <w:r>
        <w:t>IT: GE_GERICHTE ATAS/1296/2014 del 15 dicembre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A/713/2014 - 10/17 -</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c'est à bon droit que l'OAI a nié toute invalidité au recourant au motif que la dépendance à l'alcool dont il souffre est primaire et ne constitue pas une atteinte à la santé ayant elle-même valeur de maladie invalidante, et s'il est parvenu à cette conclusion au terme d'une instruction complète prenant en compte tous les éléments médicaux pertinents.</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w:t>
      </w:r>
    </w:p>
    <w:p>
      <w:r>
        <w:t>Selon l’art. 28 al. 1 LAI, l’assuré a droit à une rente aux conditions suivantes :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 c. aux termes de cette année, il est invalide à 40 % au moins.</w:t>
      </w:r>
    </w:p>
    <w:p>
      <w:r>
        <w:rPr>
          <w:b/>
        </w:rPr>
        <w:t>E. 6</w:t>
      </w:r>
    </w:p>
    <w:p>
      <w:r>
        <w:t>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7</w:t>
      </w:r>
    </w:p>
    <w:p>
      <w:r>
        <w:t>Dans l’assurance invalidité, l’instruction des faits d’ordre médical se fonde sur le rapport du médecin-traitant destiné à l’Office de l’Assurance Invalidité, les expertises de médecins indépendants de l’Institution de l’assurance, les examens pratiqués par les centres d’observation médicale de l’assurance invalidité (ATF 123 V 175), les expertises produites par une partie ainsi que les expertises médicales ordonnées par le juge (VSI 1997, page 318, consid. 3b ; BLANC, La procédure administrative en assurance invalidité, thèse Fribourg 1999, p. 142).</w:t>
      </w:r>
    </w:p>
    <w:p>
      <w:r>
        <w:rPr>
          <w:b/>
        </w:rPr>
        <w:t>E. 8</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w:t>
      </w:r>
    </w:p>
    <w:p>
      <w:r>
        <w:t>A/713/2014 - 11/17 -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10</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A/713/2014 - 12/17 -</w:t>
      </w:r>
    </w:p>
    <w:p>
      <w:r>
        <w:rPr>
          <w:b/>
        </w:rPr>
        <w:t>E. 12</w:t>
      </w:r>
    </w:p>
    <w:p>
      <w:r>
        <w:t>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(ATF 102 V 165 ; VSI 2001, page 224 consid. 2b et les références ; cf. aussi ATF 127 V 298 consid. 4c in fine).</w:t>
      </w:r>
    </w:p>
    <w:p>
      <w:r>
        <w:rPr>
          <w:b/>
        </w:rPr>
        <w:t>E. 13</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op. cit., consid. 2.4).</w:t>
      </w:r>
    </w:p>
    <w:p>
      <w:r>
        <w:t>A/713/2014 - 13/17 -</w:t>
      </w:r>
    </w:p>
    <w:p>
      <w:r>
        <w:rPr>
          <w:b/>
        </w:rPr>
        <w:t>E. 14</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15</w:t>
      </w:r>
    </w:p>
    <w:p>
      <w:r>
        <w:t>Dans le cas d'espèce, l'OAI a nié le droit aux mesures professionnelles et/ou à la rente d'invalidité, en se fondant sur l'avis du SMR du 5 août 2013, lequel était basé sur ses propres constatations du 16 octobre 2012 et sur le résultat de l'expertise réalisée par le CURML, et singulièrement sur le rapport d'expertise de ce centre du 13 mai 2013. Au vu des principes jurisprudentiels rappelés ci-dessus, la chambre des assurances sociales constate que l'expertise mise en place par l'intimé au stade de la procédure administrative a été confiée à un médecin indépendant, respectivement à un centre universitaire indépendant ; elle a été établie par des spécialistes reconnus, sur la base d'observations approfondies et d'investigations complètes, ainsi qu'en pleine connaissance du dossier ; le rapport se fonde sur des examens complets, et prend également en considération les plaintes exprimées par l'expertisé, les experts ayant examiné l'intéressé lors de trois entretiens, de fin janvier à fin avril 2013, l'expertise ayant été établie en pleine connaissance de l’anamnèse, la description du contexte médical ne souffrant guère de critiques. Le recourant fait valoir que les éléments anamnestiques recueillis n'étaient pas suffisants pour établir que la dépendance à l'alcool du recourant remonte à une période antérieure à 2008. Il critique dès lors l'expertise en tant qu'elle se fonde, de ce point de vue, soit sur des hypothèses, soit encore sur les dires de l'épouse du recourant, lors des différentes hospitalisations de ce dernier, considérant qu'il semble peu objectif de prendre ceci en considération, sans la moindre retenue, dès lors qu'ils s'inscrivent dans le contexte de séparation. Ce grief tombe à faux : en effet, loin de ne reposer que sur des hypothèses, les éléments pertinents retenus proviennent de plusieurs sources, médicales ou non, ressortant notamment des déclarations mêmes du recourant, mais également de divers documents médicaux notamment le rapport d'intervention psychiatrique d'urgence du 1er décembre 2008, où il est relevé dans les éléments anamnestiques et</w:t>
      </w:r>
    </w:p>
    <w:p>
      <w:r>
        <w:t>A/713/2014 - 14/17 - de crise que l'intéressé est sans antécédents psychiatriques connus, mis à part une dépendance "OH" (à l'alcool), l'intéressé se disant sevré depuis environ un mois et demi. Ce rapport relève que l'intéressé décrit une situation tendue au niveau professionnel et un conflit conjugal de longue date, qui se solde actuellement par une procédure de divorce en cours. Son épouse dira, en effet, lors de la deuxième hospitalisation du recourant, en automne 2009, qu'il buvait depuis vingt ans, mais que les alcoolisations se sont aggravées les dernières années. Ces éléments sont également corroborés par des documents médicaux postérieurs à l'expertise, notamment la lettre de sortie du département de santé mentale de psychiatrie du 17 juillet 2014, qui relève que le patient est connu pour une dépendance chronique de l'alcool depuis l'âge de 13 ans. En revanche, le recourant fait grief à l'expert de ne pas avoir répondu à certaines des questions posées par l'intimé, dans le cadre de la mission d'expertise, et en particulier, à celle de savoir si l'addiction à l'alcool était primaire ou secondaire. Selon la jurisprudence, en matière de dépendance à l'alcool, la science médicale distingue les troubles psychiatriques induits (secondaires à la prise d'alcool) des troubles psychiatriques indépendants (associés à la consommation d'alcool – primaires -), et que dans ce contexte la démarche diagnostique peut cependant se révéler particulièrement délicate, dans la mesure où les effets d'une consommation abusive d'alcool affectent inévitablement le tableau clinique. La chambre des assurances sociales considère en effet surprenant que le SMR, ayant pourtant, et à juste titre, précisément recommandé d'interroger l'expert à ce sujet, en énonçant expressément la question dans la liste des questions à poser, se soit contenté, à réception du rapport de l'expertise, d'interpréter le rapport, sur ce point, en répondant, de fait, lui-même, à la question posée à l'expert. C'était ainsi admettre que l'expert n'avait pas répondu à une question centrale, sinon essentielle de ce rapport. Le SMR avait les moyens et le devoir d'interpeller l'expert, pour clarifier cette question, constatant qu'il n'y avait pas été répondu. Il s'agissait en effet, et de toute évidence, d'une question fondamentale pour fixer les droits de l'administré à des prestations de l'assurance invalidité, ou au contraire pour les nier, de façon motivée. De la réponse à cette question pourraient découler d'autres questions et les conclusions pourraient être différentes. Contrairement à ce que soutient le recourant qui allègue que l'expert n'aurait pas déterminé quelles étaient les conséquences des différentes atteintes à la santé du recourant sur ses capacités de gain, le rapport traite de ces questions, notamment en pages 13 et suivantes. S'agissant d'ailleurs de certaines de ces influences, l'expert retient des limitations physiques, suggérant une expertise somatique. Là encore, le SMR ne semble pas avoir retenu nécessaire de compléter l'instruction dans cette direction, et ce sans motiver son choix. Ceci dit, la chambre des assurances sociales constate que le rapport du CURML répond aux conditions posées par la jurisprudence en ce qui concerne l'exigence</w:t>
      </w:r>
    </w:p>
    <w:p>
      <w:r>
        <w:t>A/713/2014 - 15/17 - d'observations approfondies et d'investigations complètes, ainsi qu'une pleine connaissance du dossier ; le rapport se fonde sur des examens complets, et prend également en considération les plaintes exprimées par l'expertisé. Il devra néanmoins, pour que l'on puisse retenir la valeur probante, être complété, notamment par rapport à la question à laquelle il n'a pas formellement répondu, de savoir si l'on est en présence d'un alcoolisme primaire ou secondaire, et sur les conséquences qu'il y a lieu d'en tirer.</w:t>
      </w:r>
    </w:p>
    <w:p>
      <w:r>
        <w:rPr>
          <w:b/>
        </w:rPr>
        <w:t>E. 16</w:t>
      </w:r>
    </w:p>
    <w:p>
      <w:r>
        <w:t>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w:t>
      </w:r>
    </w:p>
    <w:p>
      <w:r>
        <w:rPr>
          <w:b/>
        </w:rPr>
        <w:t>E. 17</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18</w:t>
      </w:r>
    </w:p>
    <w:p>
      <w:r>
        <w:t>Dans le cas d'espèce, l'expertise ordonnée par l'intimé répondait aux critères requis par la jurisprudence mentionnée ci-dessus, s'agissant des droits de participation de l'assuré, lequel avait été dûment interpellé préalablement à la mise en œuvre du CURML. La chambre de céans relève encore que les avis médicaux versés au dossier postérieurement au dépôt du recours ne remettent pas fondamentalement en cause les constatations et avis de l'expert. La lettre de sortie du 17 juillet 2014 comporte d'ailleurs un certain nombre de contradictions apparentes, notamment si l'on compare les constatations relatives au status à l'entrée, et les développements figurant sous la rubrique discussion et évolution, notamment par rapport à la question des idées suicidaires. Ainsi, ces avis médicaux ne sont pas de nature à</w:t>
      </w:r>
    </w:p>
    <w:p>
      <w:r>
        <w:t>A/713/2014 - 16/17 - justifier la mise en œuvre d'une nouvelle expertise. Ils devront toutefois être soumis à l'expert, dans le cadre du complément d'expertise que l'intimé devra ordonner.</w:t>
      </w:r>
    </w:p>
    <w:p>
      <w:r>
        <w:rPr>
          <w:b/>
        </w:rPr>
        <w:t>E. 19</w:t>
      </w:r>
    </w:p>
    <w:p>
      <w:r>
        <w:t>Au vu de ce qui précède, le dossier sera renvoyé à l’OAI pour instruction complémentaire, en invitant le CURML à compléter son rapport en répondant notamment à la question de savoir si la dépendance à l'alcool est primaire ou secondaire, et déterminer les conséquences de sa réponse par rapport aux différentes atteintes à la santé du recourant sur ses capacités de gain.</w:t>
      </w:r>
    </w:p>
    <w:p>
      <w:r>
        <w:rPr>
          <w:b/>
        </w:rPr>
        <w:t>E. 20</w:t>
      </w:r>
    </w:p>
    <w:p>
      <w:r>
        <w:t>Le recours sera partiellement admis et la décision du 3 février 2014 sera annulée.</w:t>
      </w:r>
    </w:p>
    <w:p>
      <w:r>
        <w:rPr>
          <w:b/>
        </w:rPr>
        <w:t>E. 21</w:t>
      </w:r>
    </w:p>
    <w:p>
      <w:r>
        <w:t>Le recourant, représenté par son curateur, le service de protection de l'adulte, obtient gain de cause, mais ne peut prétendre à des dépens. Il n'y a d'ailleurs pas conclu.</w:t>
      </w:r>
    </w:p>
    <w:p>
      <w:r>
        <w:rPr>
          <w:b/>
        </w:rPr>
        <w:t>E. 22</w:t>
      </w:r>
    </w:p>
    <w:p>
      <w:r>
        <w:t>Etant donné que, depuis le 1er juillet 2006, la procédure n'est plus gratuite (art. 69 al. 1bis LAI), au vu du sort du recours, il y a lieu de condamner l'intimé au paiement d'un émolument de CHF 200.-.</w:t>
      </w:r>
    </w:p>
    <w:p>
      <w:r>
        <w:t>A/713/2014 - 17/17 -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